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4eb78907f34ea0" /></Relationships>
</file>

<file path=word/document.xml><?xml version="1.0" encoding="utf-8"?>
<w:document xmlns:w="http://schemas.openxmlformats.org/wordprocessingml/2006/main">
  <w:body>
    <w:p>
      <w:r>
        <w:t>H-2178.1</w:t>
      </w:r>
    </w:p>
    <w:p>
      <w:pPr>
        <w:jc w:val="center"/>
      </w:pPr>
      <w:r>
        <w:t>_______________________________________________</w:t>
      </w:r>
    </w:p>
    <w:p/>
    <w:p>
      <w:pPr>
        <w:jc w:val="center"/>
      </w:pPr>
      <w:r>
        <w:rPr>
          <w:b/>
        </w:rPr>
        <w:t>HOUSE BILL 2031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 Sells, Berry, Ryu, Wicks, Stonier, Paul, Simmons, Walen, Dolan, Callan, Chambers, and Harris-Talley</w:t>
      </w:r>
    </w:p>
    <w:p/>
    <w:p>
      <w:r>
        <w:rPr>
          <w:t xml:space="preserve">Read first time 01/18/22.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family leave, and medical leave premiums; amending RCW 50.29.025, 50.29.070, and 50A.10.030;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2021 c 2 s 17 are each amended to read as follows:</w:t>
      </w:r>
    </w:p>
    <w:p>
      <w:pPr>
        <w:spacing w:before="0" w:after="0" w:line="408" w:lineRule="exact"/>
        <w:ind w:left="0" w:right="0" w:firstLine="576"/>
        <w:jc w:val="left"/>
      </w:pPr>
      <w:r>
        <w:rPr/>
        <w:t xml:space="preserve">(1)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except for rate year 2021 the calculation may not result in a flat social cost factor that is more than five-tenths percent, for rate year 2022 the calculation may not result in a flat social cost factor that is more than </w:t>
      </w:r>
      <w:r>
        <w:t>((</w:t>
      </w:r>
      <w:r>
        <w:rPr>
          <w:strike/>
        </w:rPr>
        <w:t xml:space="preserve">seventy-five one-hundredths</w:t>
      </w:r>
      <w:r>
        <w:t>))</w:t>
      </w:r>
      <w:r>
        <w:rPr/>
        <w:t xml:space="preserve"> </w:t>
      </w:r>
      <w:r>
        <w:rPr>
          <w:u w:val="single"/>
        </w:rPr>
        <w:t xml:space="preserve">five-tenths</w:t>
      </w:r>
      <w:r>
        <w:rPr/>
        <w:t xml:space="preserve"> percent, for rate year 2023 the calculation may not result in a flat social cost factor that is more than </w:t>
      </w:r>
      <w:r>
        <w:t>((</w:t>
      </w:r>
      <w:r>
        <w:rPr>
          <w:strike/>
        </w:rPr>
        <w:t xml:space="preserve">eight-tenths</w:t>
      </w:r>
      <w:r>
        <w:t>))</w:t>
      </w:r>
      <w:r>
        <w:rPr/>
        <w:t xml:space="preserve"> </w:t>
      </w:r>
      <w:r>
        <w:rPr>
          <w:u w:val="single"/>
        </w:rPr>
        <w:t xml:space="preserve">seven-tenths</w:t>
      </w:r>
      <w:r>
        <w:rPr/>
        <w:t xml:space="preserve"> percent, for rate year 2024 the calculation may not result in a flat social cost factor that is more than eighty-five one-hundredths percent, and for rate year 2025 the calculation may not result in a flat social cost factor that is more than nine-tenths percent.</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(1)(b),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t xml:space="preserve">(A) Rate class 1 - 40 percent;</w:t>
      </w:r>
    </w:p>
    <w:p>
      <w:pPr>
        <w:spacing w:before="0" w:after="0" w:line="408" w:lineRule="exact"/>
        <w:ind w:left="0" w:right="0" w:firstLine="576"/>
        <w:jc w:val="left"/>
      </w:pPr>
      <w:r>
        <w:rPr/>
        <w:t xml:space="preserve">(B) Rate class 2 - 44 percent;</w:t>
      </w:r>
    </w:p>
    <w:p>
      <w:pPr>
        <w:spacing w:before="0" w:after="0" w:line="408" w:lineRule="exact"/>
        <w:ind w:left="0" w:right="0" w:firstLine="576"/>
        <w:jc w:val="left"/>
      </w:pPr>
      <w:r>
        <w:rPr/>
        <w:t xml:space="preserve">(C) Rate class 3 - 48 percent;</w:t>
      </w:r>
    </w:p>
    <w:p>
      <w:pPr>
        <w:spacing w:before="0" w:after="0" w:line="408" w:lineRule="exact"/>
        <w:ind w:left="0" w:right="0" w:firstLine="576"/>
        <w:jc w:val="left"/>
      </w:pPr>
      <w:r>
        <w:rPr/>
        <w:t xml:space="preserve">(D) Rate class 4 - 52 percent;</w:t>
      </w:r>
    </w:p>
    <w:p>
      <w:pPr>
        <w:spacing w:before="0" w:after="0" w:line="408" w:lineRule="exact"/>
        <w:ind w:left="0" w:right="0" w:firstLine="576"/>
        <w:jc w:val="left"/>
      </w:pPr>
      <w:r>
        <w:rPr/>
        <w:t xml:space="preserve">(E) Rate class 5 - 56 percent;</w:t>
      </w:r>
    </w:p>
    <w:p>
      <w:pPr>
        <w:spacing w:before="0" w:after="0" w:line="408" w:lineRule="exact"/>
        <w:ind w:left="0" w:right="0" w:firstLine="576"/>
        <w:jc w:val="left"/>
      </w:pPr>
      <w:r>
        <w:rPr/>
        <w:t xml:space="preserve">(F) Rate class 6 - 60 percent;</w:t>
      </w:r>
    </w:p>
    <w:p>
      <w:pPr>
        <w:spacing w:before="0" w:after="0" w:line="408" w:lineRule="exact"/>
        <w:ind w:left="0" w:right="0" w:firstLine="576"/>
        <w:jc w:val="left"/>
      </w:pPr>
      <w:r>
        <w:rPr/>
        <w:t xml:space="preserve">(G) Rate class 7 - 64 percent;</w:t>
      </w:r>
    </w:p>
    <w:p>
      <w:pPr>
        <w:spacing w:before="0" w:after="0" w:line="408" w:lineRule="exact"/>
        <w:ind w:left="0" w:right="0" w:firstLine="576"/>
        <w:jc w:val="left"/>
      </w:pPr>
      <w:r>
        <w:rPr/>
        <w:t xml:space="preserve">(H) Rate class 8 - 68 percent;</w:t>
      </w:r>
    </w:p>
    <w:p>
      <w:pPr>
        <w:spacing w:before="0" w:after="0" w:line="408" w:lineRule="exact"/>
        <w:ind w:left="0" w:right="0" w:firstLine="576"/>
        <w:jc w:val="left"/>
      </w:pPr>
      <w:r>
        <w:rPr/>
        <w:t xml:space="preserve">(I) Rate class 9 - 72 percent;</w:t>
      </w:r>
    </w:p>
    <w:p>
      <w:pPr>
        <w:spacing w:before="0" w:after="0" w:line="408" w:lineRule="exact"/>
        <w:ind w:left="0" w:right="0" w:firstLine="576"/>
        <w:jc w:val="left"/>
      </w:pPr>
      <w:r>
        <w:rPr/>
        <w:t xml:space="preserve">(J) Rate class 10 - 76 percent;</w:t>
      </w:r>
    </w:p>
    <w:p>
      <w:pPr>
        <w:spacing w:before="0" w:after="0" w:line="408" w:lineRule="exact"/>
        <w:ind w:left="0" w:right="0" w:firstLine="576"/>
        <w:jc w:val="left"/>
      </w:pPr>
      <w:r>
        <w:rPr/>
        <w:t xml:space="preserve">(K) Rate class 11 - 80 percent;</w:t>
      </w:r>
    </w:p>
    <w:p>
      <w:pPr>
        <w:spacing w:before="0" w:after="0" w:line="408" w:lineRule="exact"/>
        <w:ind w:left="0" w:right="0" w:firstLine="576"/>
        <w:jc w:val="left"/>
      </w:pPr>
      <w:r>
        <w:rPr/>
        <w:t xml:space="preserve">(L) Rate class 12 - 84 percent;</w:t>
      </w:r>
    </w:p>
    <w:p>
      <w:pPr>
        <w:spacing w:before="0" w:after="0" w:line="408" w:lineRule="exact"/>
        <w:ind w:left="0" w:right="0" w:firstLine="576"/>
        <w:jc w:val="left"/>
      </w:pPr>
      <w:r>
        <w:rPr/>
        <w:t xml:space="preserve">(M) Rate class 13 - 88 percent;</w:t>
      </w:r>
    </w:p>
    <w:p>
      <w:pPr>
        <w:spacing w:before="0" w:after="0" w:line="408" w:lineRule="exact"/>
        <w:ind w:left="0" w:right="0" w:firstLine="576"/>
        <w:jc w:val="left"/>
      </w:pPr>
      <w:r>
        <w:rPr/>
        <w:t xml:space="preserve">(N) Rate class 14 - 92 percent;</w:t>
      </w:r>
    </w:p>
    <w:p>
      <w:pPr>
        <w:spacing w:before="0" w:after="0" w:line="408" w:lineRule="exact"/>
        <w:ind w:left="0" w:right="0" w:firstLine="576"/>
        <w:jc w:val="left"/>
      </w:pPr>
      <w:r>
        <w:rPr/>
        <w:t xml:space="preserve">(O) Rate class 15 - 96 percent;</w:t>
      </w:r>
    </w:p>
    <w:p>
      <w:pPr>
        <w:spacing w:before="0" w:after="0" w:line="408" w:lineRule="exact"/>
        <w:ind w:left="0" w:right="0" w:firstLine="576"/>
        <w:jc w:val="left"/>
      </w:pPr>
      <w:r>
        <w:rPr/>
        <w:t xml:space="preserve">(P) Rate class 16 - 100 percent;</w:t>
      </w:r>
    </w:p>
    <w:p>
      <w:pPr>
        <w:spacing w:before="0" w:after="0" w:line="408" w:lineRule="exact"/>
        <w:ind w:left="0" w:right="0" w:firstLine="576"/>
        <w:jc w:val="left"/>
      </w:pPr>
      <w:r>
        <w:rPr/>
        <w:t xml:space="preserve">(Q) Rate class 17 - 104 percent;</w:t>
      </w:r>
    </w:p>
    <w:p>
      <w:pPr>
        <w:spacing w:before="0" w:after="0" w:line="408" w:lineRule="exact"/>
        <w:ind w:left="0" w:right="0" w:firstLine="576"/>
        <w:jc w:val="left"/>
      </w:pPr>
      <w:r>
        <w:rPr/>
        <w:t xml:space="preserve">(R) Rate class 18 - 108 percent;</w:t>
      </w:r>
    </w:p>
    <w:p>
      <w:pPr>
        <w:spacing w:before="0" w:after="0" w:line="408" w:lineRule="exact"/>
        <w:ind w:left="0" w:right="0" w:firstLine="576"/>
        <w:jc w:val="left"/>
      </w:pPr>
      <w:r>
        <w:rPr/>
        <w:t xml:space="preserve">(S) Rate class 19 - 112 percent;</w:t>
      </w:r>
    </w:p>
    <w:p>
      <w:pPr>
        <w:spacing w:before="0" w:after="0" w:line="408" w:lineRule="exact"/>
        <w:ind w:left="0" w:right="0" w:firstLine="576"/>
        <w:jc w:val="left"/>
      </w:pPr>
      <w:r>
        <w:rPr/>
        <w:t xml:space="preserve">(T) Rate class 20 - 116 percent; and</w:t>
      </w:r>
    </w:p>
    <w:p>
      <w:pPr>
        <w:spacing w:before="0" w:after="0" w:line="408" w:lineRule="exact"/>
        <w:ind w:left="0" w:right="0" w:firstLine="576"/>
        <w:jc w:val="left"/>
      </w:pPr>
      <w:r>
        <w:rPr/>
        <w:t xml:space="preserve">(U) Rate classes 21 through 40 - 120 percent.</w:t>
      </w:r>
    </w:p>
    <w:p>
      <w:pPr>
        <w:spacing w:before="0" w:after="0" w:line="408" w:lineRule="exact"/>
        <w:ind w:left="0" w:right="0" w:firstLine="576"/>
        <w:jc w:val="left"/>
      </w:pPr>
      <w:r>
        <w:rPr/>
        <w:t xml:space="preserve">(iii) </w:t>
      </w:r>
      <w:r>
        <w:rPr>
          <w:u w:val="single"/>
        </w:rPr>
        <w:t xml:space="preserve">For rate year 2023, for any employer with 10 or fewer employees as reported on the employer's fourth quarter report to the department for 2021 and whose rate class is greater than rate class 7, the employer's rate class, only for purposes of the rate classes in (b)(ii)(A) through (U) of this subsection (1), is rate class 7.</w:t>
      </w:r>
    </w:p>
    <w:p>
      <w:pPr>
        <w:spacing w:before="0" w:after="0" w:line="408" w:lineRule="exact"/>
        <w:ind w:left="0" w:right="0" w:firstLine="576"/>
        <w:jc w:val="left"/>
      </w:pPr>
      <w:r>
        <w:rPr>
          <w:u w:val="single"/>
        </w:rPr>
        <w:t xml:space="preserve">(iv)</w:t>
      </w:r>
      <w:r>
        <w:rPr/>
        <w:t xml:space="preserve">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(i)(A) For an employer who does not enter into an approved agency-deferred payment contract as described in (c)(i)(B) or (C)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rPr/>
        <w:t xml:space="preserve">(B)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rPr/>
        <w:t xml:space="preserve">(C)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rPr/>
        <w:t xml:space="preserve">(D) For an employer who enters an approved agency-deferred payment contract as described in (c)(i)(B) or (C) of this subsection, but who fails to make any one of the succeeding deferred payments or fails to submit any succeeding tax report and payment in a timely manner, the array calculation factor rate shall immediately revert to the applicable array calculation factor rate under (c)(i)(A) of this subsection; and</w:t>
      </w:r>
    </w:p>
    <w:p>
      <w:pPr>
        <w:spacing w:before="0" w:after="0" w:line="408" w:lineRule="exact"/>
        <w:ind w:left="0" w:right="0" w:firstLine="576"/>
        <w:jc w:val="left"/>
      </w:pPr>
      <w:r>
        <w:rPr/>
        <w:t xml:space="preserve">(ii) The social cost factor rate shall be the social cost factor rate assigned to rate class 40 under (b)(ii)</w:t>
      </w:r>
      <w:r>
        <w:t>((</w:t>
      </w:r>
      <w:r>
        <w:rPr>
          <w:strike/>
        </w:rPr>
        <w:t xml:space="preserve">(A)</w:t>
      </w:r>
      <w:r>
        <w:t>))</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rPr/>
        <w:t xml:space="preserve">(2)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070</w:t>
      </w:r>
      <w:r>
        <w:rPr/>
        <w:t xml:space="preserve"> and 2003 2nd sp.s. c 4 s 19 are each amended to read as follows:</w:t>
      </w:r>
    </w:p>
    <w:p>
      <w:pPr>
        <w:spacing w:before="0" w:after="0" w:line="408" w:lineRule="exact"/>
        <w:ind w:left="0" w:right="0" w:firstLine="576"/>
        <w:jc w:val="left"/>
      </w:pPr>
      <w:r>
        <w:rPr/>
        <w:t xml:space="preserve">(1) Within a reasonable time after the computation date each employer shall be notified of the employer's rate of contribution as determined for the succeeding rate year and factors used in the calculation. Beginning with rate year 2005, the notice must include the amount of the contribution rate that is attributable to each component of the rate under RCW 50.29.025</w:t>
      </w:r>
      <w:r>
        <w:t>((</w:t>
      </w:r>
      <w:r>
        <w:rPr>
          <w:strike/>
        </w:rPr>
        <w:t xml:space="preserve">(2)</w:t>
      </w:r>
      <w:r>
        <w:t>))</w:t>
      </w:r>
      <w:r>
        <w:rPr/>
        <w:t xml:space="preserve"> </w:t>
      </w:r>
      <w:r>
        <w:rPr>
          <w:u w:val="single"/>
        </w:rPr>
        <w:t xml:space="preserve">(1)</w:t>
      </w:r>
      <w:r>
        <w:rPr/>
        <w:t xml:space="preserve">.</w:t>
      </w:r>
    </w:p>
    <w:p>
      <w:pPr>
        <w:spacing w:before="0" w:after="0" w:line="408" w:lineRule="exact"/>
        <w:ind w:left="0" w:right="0" w:firstLine="576"/>
        <w:jc w:val="left"/>
      </w:pPr>
      <w:r>
        <w:rPr/>
        <w:t xml:space="preserve">(2) Any employer dissatisfied with the benefit charges made to the employer's account for the twelve-month period immediately preceding the computation date or with his or her determined rate may file a request for review and redetermination with the commissioner within thirty days of the mailing of the notice to the employer, showing the reason for such request. Should such request for review and redetermination be denied, the employer may, within thirty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2019 c 13 s 21 are each amended to read as follows:</w:t>
      </w:r>
    </w:p>
    <w:p>
      <w:pPr>
        <w:spacing w:before="0" w:after="0" w:line="408" w:lineRule="exact"/>
        <w:ind w:left="0" w:right="0" w:firstLine="576"/>
        <w:jc w:val="left"/>
      </w:pPr>
      <w:r>
        <w:rPr/>
        <w:t xml:space="preserve">(1)(a) </w:t>
      </w:r>
      <w:r>
        <w:t>((</w:t>
      </w:r>
      <w:r>
        <w:rPr>
          <w:strike/>
        </w:rPr>
        <w:t xml:space="preserve">Beginning January 1, 2019, the</w:t>
      </w:r>
      <w:r>
        <w:t>))</w:t>
      </w:r>
      <w:r>
        <w:rPr/>
        <w:t xml:space="preserve"> </w:t>
      </w:r>
      <w:r>
        <w:rPr>
          <w:u w:val="single"/>
        </w:rPr>
        <w:t xml:space="preserve">The</w:t>
      </w:r>
      <w:r>
        <w:rPr/>
        <w:t xml:space="preserv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w:t>
      </w:r>
      <w:r>
        <w:t>((</w:t>
      </w:r>
      <w:r>
        <w:rPr>
          <w:strike/>
        </w:rPr>
        <w:t xml:space="preserve">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strike/>
        </w:rPr>
        <w:t xml:space="preserve">(b)</w:t>
      </w:r>
      <w:r>
        <w:t>))</w:t>
      </w:r>
      <w:r>
        <w:rPr/>
        <w:t xml:space="preserve"> For family leave premiums, an employer may deduct from the wages of each employee up to the full amount of the premium required.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medical leave premiums, an employer may deduct from the wages of each employee up to forty-five percent of the full amount of the premium required.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50A.24.010.</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w:t>
      </w:r>
      <w:r>
        <w:rPr>
          <w:u w:val="single"/>
        </w:rPr>
        <w:t xml:space="preserve">For calendar year 2022:</w:t>
      </w:r>
    </w:p>
    <w:p>
      <w:pPr>
        <w:spacing w:before="0" w:after="0" w:line="408" w:lineRule="exact"/>
        <w:ind w:left="0" w:right="0" w:firstLine="576"/>
        <w:jc w:val="left"/>
      </w:pPr>
      <w:r>
        <w:rPr>
          <w:u w:val="single"/>
        </w:rPr>
        <w:t xml:space="preserve">(a) The total premium rate shall be six-tenths of one percent of the individual's wages subject to subsection (4) of this section;</w:t>
      </w:r>
    </w:p>
    <w:p>
      <w:pPr>
        <w:spacing w:before="0" w:after="0" w:line="408" w:lineRule="exact"/>
        <w:ind w:left="0" w:right="0" w:firstLine="576"/>
        <w:jc w:val="left"/>
      </w:pPr>
      <w:r>
        <w:rPr>
          <w:u w:val="single"/>
        </w:rPr>
        <w:t xml:space="preserve">(b) The employer portion of the total premium is 26.78 percent;</w:t>
      </w:r>
    </w:p>
    <w:p>
      <w:pPr>
        <w:spacing w:before="0" w:after="0" w:line="408" w:lineRule="exact"/>
        <w:ind w:left="0" w:right="0" w:firstLine="576"/>
        <w:jc w:val="left"/>
      </w:pPr>
      <w:r>
        <w:rPr>
          <w:u w:val="single"/>
        </w:rPr>
        <w:t xml:space="preserve">(c) Thirty-one percent of the total premium shall be paid with general fund state, subject to appropriation to the department; and</w:t>
      </w:r>
    </w:p>
    <w:p>
      <w:pPr>
        <w:spacing w:before="0" w:after="0" w:line="408" w:lineRule="exact"/>
        <w:ind w:left="0" w:right="0" w:firstLine="576"/>
        <w:jc w:val="left"/>
      </w:pPr>
      <w:r>
        <w:rPr>
          <w:u w:val="single"/>
        </w:rPr>
        <w:t xml:space="preserve">(d)(i) If funds are appropriated to the department as provided in (c) of this subsection, 42.22 percent of the total premium shall be deducted from the wages of each employee and paid in by the employer; and</w:t>
      </w:r>
    </w:p>
    <w:p>
      <w:pPr>
        <w:spacing w:before="0" w:after="0" w:line="408" w:lineRule="exact"/>
        <w:ind w:left="0" w:right="0" w:firstLine="576"/>
        <w:jc w:val="left"/>
      </w:pPr>
      <w:r>
        <w:rPr>
          <w:u w:val="single"/>
        </w:rPr>
        <w:t xml:space="preserve">(ii) If funds are not appropriated as provided in (c) of this subsection, 73.22 percent of the total premium shall be deducted from the wages of each employee and paid in by the employer.</w:t>
      </w:r>
    </w:p>
    <w:p>
      <w:pPr>
        <w:spacing w:before="0" w:after="0" w:line="408" w:lineRule="exact"/>
        <w:ind w:left="0" w:right="0" w:firstLine="576"/>
        <w:jc w:val="left"/>
      </w:pPr>
      <w:r>
        <w:rPr>
          <w:u w:val="single"/>
        </w:rPr>
        <w:t xml:space="preserve">(8)</w:t>
      </w:r>
      <w:r>
        <w:rPr/>
        <w:t xml:space="preserve">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Premiums shall be collected in the manner and at such intervals as provided in this title and directed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Premiums collected under this section are placed in trust for the employees and employers that the program is intended to assist.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31bbe47f46145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940f82b254a5f" /><Relationship Type="http://schemas.openxmlformats.org/officeDocument/2006/relationships/footer" Target="/word/footer1.xml" Id="R431bbe47f4614543" /></Relationships>
</file>