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0f1db47dc419f" /></Relationships>
</file>

<file path=word/document.xml><?xml version="1.0" encoding="utf-8"?>
<w:document xmlns:w="http://schemas.openxmlformats.org/wordprocessingml/2006/main">
  <w:body>
    <w:p>
      <w:r>
        <w:t>H-2166.1</w:t>
      </w:r>
    </w:p>
    <w:p>
      <w:pPr>
        <w:jc w:val="center"/>
      </w:pPr>
      <w:r>
        <w:t>_______________________________________________</w:t>
      </w:r>
    </w:p>
    <w:p/>
    <w:p>
      <w:pPr>
        <w:jc w:val="center"/>
      </w:pPr>
      <w:r>
        <w:rPr>
          <w:b/>
        </w:rPr>
        <w:t>HOUSE BILL 2094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Graham, Volz, Boehnke, Robertson, Walsh, Jacobsen, Sutherland, Klippert, McCaslin, and Gilday</w:t>
      </w:r>
    </w:p>
    <w:p/>
    <w:p>
      <w:r>
        <w:rPr>
          <w:t xml:space="preserve">Read first time 01/26/22.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persons convicted of violent offenses with firearm enhancements from receiving earned early release credits; and amending RCW 9.94A.729.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2020 c 330 s 2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w:t>
      </w:r>
      <w:r>
        <w:t>((</w:t>
      </w:r>
      <w:r>
        <w:rPr>
          <w:strike/>
        </w:rPr>
        <w:t xml:space="preserve">An</w:t>
      </w:r>
      <w:r>
        <w:t>))</w:t>
      </w:r>
      <w:r>
        <w:rPr/>
        <w:t xml:space="preserve"> </w:t>
      </w:r>
      <w:r>
        <w:rPr>
          <w:u w:val="single"/>
        </w:rPr>
        <w:t xml:space="preserve">Except as provided in subsections (2) and (6) of this section, an</w:t>
      </w:r>
      <w:r>
        <w:rPr/>
        <w:t xml:space="preserve">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w:t>
      </w:r>
      <w:r>
        <w:rPr>
          <w:u w:val="single"/>
        </w:rPr>
        <w:t xml:space="preserve">(a)</w:t>
      </w:r>
      <w:r>
        <w:rPr/>
        <w:t xml:space="preserve"> An offender serving a term of confinement imposed under RCW 9.94A.670(5)(a) is not eligible for earned release credits under this section.</w:t>
      </w:r>
    </w:p>
    <w:p>
      <w:pPr>
        <w:spacing w:before="0" w:after="0" w:line="408" w:lineRule="exact"/>
        <w:ind w:left="0" w:right="0" w:firstLine="576"/>
        <w:jc w:val="left"/>
      </w:pPr>
      <w:r>
        <w:rPr>
          <w:u w:val="single"/>
        </w:rPr>
        <w:t xml:space="preserve">(b) An offender serving a term of confinement for a violent offense that includes a firearm enhancement under RCW 9.94A.533(3) is not eligible for earned release credits under this section.</w:t>
      </w:r>
    </w:p>
    <w:p/>
    <w:p>
      <w:pPr>
        <w:jc w:val="center"/>
      </w:pPr>
      <w:r>
        <w:rPr>
          <w:b/>
        </w:rPr>
        <w:t>--- END ---</w:t>
      </w:r>
    </w:p>
    <w:sectPr>
      <w:pgNumType w:start="1"/>
      <w:footerReference xmlns:r="http://schemas.openxmlformats.org/officeDocument/2006/relationships" r:id="Rede5d87a96ee45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610e8d54454187" /><Relationship Type="http://schemas.openxmlformats.org/officeDocument/2006/relationships/footer" Target="/word/footer1.xml" Id="Rede5d87a96ee456a" /></Relationships>
</file>