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2ddf3dd2541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1050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Fitzgibbon, Ortiz-Self, Leavitt, Duerr, Chopp, Ramel, Peterson, Goodman, Ryu, Callan, Ramos, Ormsby, Pollet, Stonier, Fey, Macri, and Bergquist)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0" w:after="0" w:line="408" w:lineRule="exact"/>
        <w:ind w:left="0" w:right="0" w:firstLine="576"/>
        <w:jc w:val="left"/>
      </w:pPr>
      <w:r>
        <w:rPr/>
        <w:t xml:space="preserve">(3) Furthermore, it is the intent of the legislature that the ice rink used by Seattle's newest hockey franchise, the Seattle Kraken, should be as cold as possible, but also should be refrigerated using climate-friendly refrigerants, so that on opening night of the 2021-2022 National Hockey League season, as many fans as possible can simultaneously yell the Pacific Northwest's favorite new phrase: 'Release the Kraken!'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w:t>
      </w:r>
    </w:p>
    <w:p>
      <w:pPr>
        <w:spacing w:before="0" w:after="0" w:line="408" w:lineRule="exact"/>
        <w:ind w:left="0" w:right="0" w:firstLine="576"/>
        <w:jc w:val="left"/>
      </w:pPr>
      <w:r>
        <w:rPr/>
        <w:t xml:space="preserve">(a) One hundred fifty for use in new equipment manufactured after December 31, 2023, for installation in new ice rinks; and</w:t>
      </w:r>
    </w:p>
    <w:p>
      <w:pPr>
        <w:spacing w:before="0" w:after="0" w:line="408" w:lineRule="exact"/>
        <w:ind w:left="0" w:right="0" w:firstLine="576"/>
        <w:jc w:val="left"/>
      </w:pPr>
      <w:r>
        <w:rPr/>
        <w:t xml:space="preserve">(b) Seven hundred fifty for use in new equipment manufactured after December 31, 2023, for installation in existing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and affordability of:</w:t>
      </w:r>
    </w:p>
    <w:p>
      <w:pPr>
        <w:spacing w:before="0" w:after="0" w:line="408" w:lineRule="exact"/>
        <w:ind w:left="0" w:right="0" w:firstLine="576"/>
        <w:jc w:val="left"/>
      </w:pPr>
      <w:r>
        <w:rPr/>
        <w:t xml:space="preserve">(i) Equipment that meets applicable global warming potential requirements;</w:t>
      </w:r>
    </w:p>
    <w:p>
      <w:pPr>
        <w:spacing w:before="0" w:after="0" w:line="408" w:lineRule="exact"/>
        <w:ind w:left="0" w:right="0" w:firstLine="576"/>
        <w:jc w:val="left"/>
      </w:pPr>
      <w:r>
        <w:rPr/>
        <w:t xml:space="preserve">(ii) Refrigerants that meet applicable global warming potential requirements; and</w:t>
      </w:r>
    </w:p>
    <w:p>
      <w:pPr>
        <w:spacing w:before="0" w:after="0" w:line="408" w:lineRule="exact"/>
        <w:ind w:left="0" w:right="0" w:firstLine="576"/>
        <w:jc w:val="left"/>
      </w:pPr>
      <w:r>
        <w:rPr/>
        <w:t xml:space="preserve">(iii)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or refrigerant availability and affordability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in a single system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stationary refrigeration system or air conditioning system that exceeds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 and</w:t>
      </w:r>
    </w:p>
    <w:p>
      <w:pPr>
        <w:spacing w:before="0" w:after="0" w:line="408" w:lineRule="exact"/>
        <w:ind w:left="0" w:right="0" w:firstLine="576"/>
        <w:jc w:val="left"/>
      </w:pPr>
      <w:r>
        <w:rPr/>
        <w:t xml:space="preserve">(g) To the maximum extent practicable while giving consideration to the goals of this chapter, establish recordkeeping and reporting requirements that are consistent with programs implemented by the federal environmental protection agency or in other states, and that minimize compliance costs and regulatory burdens for regulated parties.</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0" w:after="0" w:line="408" w:lineRule="exact"/>
        <w:ind w:left="0" w:right="0" w:firstLine="576"/>
        <w:jc w:val="left"/>
      </w:pPr>
      <w:r>
        <w:rPr/>
        <w:t xml:space="preserve">(10) By December 1, 2029, and every five years thereafter, the department must consider the greenhouse gas emissions reductions achieved under the program created in this section and the criteria of section 11(3) of this act, and make a determination whether to continue to implement the program for the following five years. The department must notify the appropriate committees of the house of representatives and the senate of its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w:t>
      </w:r>
      <w:r>
        <w:rPr>
          <w:u w:val="single"/>
        </w:rPr>
        <w:t xml:space="preserve">, including by amending existing rules as necessary,</w:t>
      </w:r>
      <w:r>
        <w:rPr/>
        <w:t xml:space="preserve">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in accordance with nationally recognized, published standards that protect building occupant safety and reduce fire risks.</w:t>
      </w:r>
    </w:p>
    <w:p>
      <w:pPr>
        <w:spacing w:before="0" w:after="0" w:line="408" w:lineRule="exact"/>
        <w:ind w:left="0" w:right="0" w:firstLine="576"/>
        <w:jc w:val="left"/>
      </w:pPr>
      <w:r>
        <w:rPr>
          <w:u w:val="single"/>
        </w:rPr>
        <w:t xml:space="preserve">(3) The building code council may adopt rules that allow the use of substitutes, as defined in section 2 of this act, that are under review but have not yet been approved by the United States environmental protection agency's significant new alternatives policy to implement 42 U.S.C. Sec. 7671k,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that facilitate the use of substitutes with a low global warming potential in air conditioning systems or equipment, the building code council must solicit input from organizations representing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f09b45b95fd46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303e680824ba7" /><Relationship Type="http://schemas.openxmlformats.org/officeDocument/2006/relationships/footer" Target="/word/footer1.xml" Id="R0f09b45b95fd46b5" /></Relationships>
</file>