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dc0589dbe4a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61</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Rule, Bateman, Shewmake, Lekanoff, Senn, Santos, Thai, Ortiz-Self, Ormsby, Callan, Ramel, Riccelli, and Macri)</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definitions of homelessness to improve access to services; and amending RCW 43.216.505, 13.34.030, 26.44.020, 13.34.065, and 13.34.138.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"Homeless" means a child without a fixed, regular, and adequate nighttime residence as described in the federal McKinney-Vento homeless assistance act (Title 42 U.S.C., chapter 119, subchapter VI, part B)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2020 c 312 s 114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(14)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(15)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(16)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(17)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(18)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(19)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(20)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(21)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rPr/>
        <w:t xml:space="preserve">(22)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(23)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(24)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(25)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(26)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(28)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w:t>
      </w:r>
      <w:r>
        <w:rPr>
          <w:u w:val="single"/>
        </w:rPr>
        <w:t xml:space="preserve">experiencing</w:t>
      </w:r>
      <w:r>
        <w:rPr/>
        <w:t xml:space="preserve">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w:t>
      </w:r>
      <w:r>
        <w:rPr>
          <w:u w:val="single"/>
        </w:rPr>
        <w:t xml:space="preserve">experiencing</w:t>
      </w:r>
      <w:r>
        <w:rPr/>
        <w:t xml:space="preserve">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w:t>
      </w:r>
      <w:r>
        <w:rPr>
          <w:u w:val="single"/>
        </w:rPr>
        <w:t xml:space="preserve">experiencing</w:t>
      </w:r>
      <w:r>
        <w:rPr/>
        <w:t xml:space="preserve">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w:t>
      </w:r>
      <w:r>
        <w:rPr>
          <w:u w:val="single"/>
        </w:rPr>
        <w:t xml:space="preserve">experiencing</w:t>
      </w:r>
      <w:r>
        <w:rPr/>
        <w:t xml:space="preserve">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
      <w:pPr>
        <w:jc w:val="center"/>
      </w:pPr>
      <w:r>
        <w:rPr>
          <w:b/>
        </w:rPr>
        <w:t>--- END ---</w:t>
      </w:r>
    </w:p>
    <w:sectPr>
      <w:pgNumType w:start="1"/>
      <w:footerReference xmlns:r="http://schemas.openxmlformats.org/officeDocument/2006/relationships" r:id="R47c2fdc162304d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3ffd022c154138" /><Relationship Type="http://schemas.openxmlformats.org/officeDocument/2006/relationships/footer" Target="/word/footer1.xml" Id="R47c2fdc162304d11" /></Relationships>
</file>