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d75c4a71c4f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1251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1251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Orcutt, Dent, Eslick, and Robertson</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wheeled all-terrain vehicles on state highways;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w:t>
      </w:r>
      <w:r>
        <w:rPr>
          <w:u w:val="single"/>
        </w:rPr>
        <w:t xml:space="preserve">, or if the county in which the segment is located has first consulted with the department of transportation, and then adopted an ordinance approving the operation of wheeled all-terrain vehicles on that segment,</w:t>
      </w:r>
      <w:r>
        <w:rPr/>
        <w:t xml:space="preserve"> and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Except as otherwise provided in (a) of this subsection, the</w:t>
      </w:r>
      <w:r>
        <w:rPr/>
        <w:t xml:space="preserv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25197fd12f5443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3e97c8fe34eb2" /><Relationship Type="http://schemas.openxmlformats.org/officeDocument/2006/relationships/footer" Target="/word/footer1.xml" Id="R25197fd12f5443dc" /></Relationships>
</file>