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91231618640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1302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1302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Berg, Ybarra, J. Johnson, Sutherland, Eslick, Morgan, Bergquist, Paul, and Callan)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in the high school programs; amending RCW 28A.600.290, 28A.300.560, 28A.320.196, 28B.10.035, 28B.76.730, and 28B.95.020;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w:t>
      </w:r>
      <w:r>
        <w:t>((</w:t>
      </w:r>
      <w:r>
        <w:rPr>
          <w:strike/>
        </w:rPr>
        <w:t xml:space="preserve">or</w:t>
      </w:r>
      <w:r>
        <w:t>))</w:t>
      </w:r>
      <w:r>
        <w:rPr>
          <w:u w:val="single"/>
        </w:rPr>
        <w:t xml:space="preserve">, and</w:t>
      </w:r>
      <w:r>
        <w:rPr/>
        <w:t xml:space="preserve"> students who have not yet received a high school diploma or its equivalent and are eligible to be in the eleventh or twelfth grade</w:t>
      </w:r>
      <w:r>
        <w:rPr>
          <w:u w:val="single"/>
        </w:rPr>
        <w:t xml:space="preserve">,</w:t>
      </w:r>
      <w:r>
        <w:rPr/>
        <w:t xml:space="preserve"> who are enrolled in college in the high school courses under </w:t>
      </w:r>
      <w:r>
        <w:t>((</w:t>
      </w:r>
      <w:r>
        <w:rPr>
          <w:strike/>
        </w:rPr>
        <w:t xml:space="preserve">this</w:t>
      </w:r>
      <w:r>
        <w:t>))</w:t>
      </w:r>
      <w:r>
        <w:rPr/>
        <w:t xml:space="preserve"> section </w:t>
      </w:r>
      <w:r>
        <w:rPr>
          <w:u w:val="single"/>
        </w:rPr>
        <w:t xml:space="preserve">1 of this act</w:t>
      </w:r>
      <w:r>
        <w:rPr/>
        <w:t xml:space="preserve">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w:t>
      </w:r>
      <w:r>
        <w:t>((</w:t>
      </w:r>
      <w:r>
        <w:rPr>
          <w:strike/>
        </w:rPr>
        <w:t xml:space="preserve">or</w:t>
      </w:r>
      <w:r>
        <w:t>))</w:t>
      </w:r>
      <w:r>
        <w:rPr/>
        <w:t xml:space="preserve"> </w:t>
      </w:r>
      <w:r>
        <w:rPr>
          <w:u w:val="single"/>
        </w:rPr>
        <w:t xml:space="preserve">and</w:t>
      </w:r>
      <w:r>
        <w:rPr/>
        <w:t xml:space="preserve"> students who have not yet received a high school diploma or its equivalent and are eligible to be in the eleventh or twelfth grade</w:t>
      </w:r>
      <w:r>
        <w:rPr>
          <w:u w:val="single"/>
        </w:rPr>
        <w:t xml:space="preserve">,</w:t>
      </w:r>
      <w:r>
        <w:rPr/>
        <w:t xml:space="preserve"> who have been deemed eligible for free or reduced-price lunch and are enrolled in college in the high school courses under </w:t>
      </w:r>
      <w:r>
        <w:t>((</w:t>
      </w:r>
      <w:r>
        <w:rPr>
          <w:strike/>
        </w:rPr>
        <w:t xml:space="preserve">this</w:t>
      </w:r>
      <w:r>
        <w:t>))</w:t>
      </w:r>
      <w:r>
        <w:rPr/>
        <w:t xml:space="preserve"> section </w:t>
      </w:r>
      <w:r>
        <w:rPr>
          <w:u w:val="single"/>
        </w:rPr>
        <w:t xml:space="preserve">1 of this act</w:t>
      </w:r>
      <w:r>
        <w:rPr/>
        <w:t xml:space="preserve">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t>((</w:t>
      </w:r>
      <w:r>
        <w:rPr>
          <w:strik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strike/>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strike/>
        </w:rPr>
        <w:t xml:space="preserve">(3) College in the high school programs may include both academic and career and technical education.</w:t>
      </w:r>
    </w:p>
    <w:p>
      <w:pPr>
        <w:spacing w:before="0" w:after="0" w:line="408" w:lineRule="exact"/>
        <w:ind w:left="0" w:right="0" w:firstLine="576"/>
        <w:jc w:val="left"/>
      </w:pPr>
      <w:r>
        <w:rPr>
          <w:strike/>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strike/>
        </w:rPr>
        <w:t xml:space="preserve">(5) The college in the high school program must include the provisions in this subsection.</w:t>
      </w:r>
    </w:p>
    <w:p>
      <w:pPr>
        <w:spacing w:before="0" w:after="0" w:line="408" w:lineRule="exact"/>
        <w:ind w:left="0" w:right="0" w:firstLine="576"/>
        <w:jc w:val="left"/>
      </w:pPr>
      <w:r>
        <w:rPr>
          <w:strike/>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strike/>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strike/>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strike/>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strike/>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strike/>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strike/>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strike/>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strik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strike/>
        </w:rPr>
        <w:t xml:space="preserve">(7)</w:t>
      </w:r>
      <w:r>
        <w:t>))</w:t>
      </w:r>
      <w:r>
        <w:rPr/>
        <w:t xml:space="preserve"> </w:t>
      </w:r>
      <w:r>
        <w:rPr>
          <w:u w:val="single"/>
        </w:rPr>
        <w:t xml:space="preserve">(2)</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2013 c 184 s 4 are each amended to read as follows:</w:t>
      </w:r>
    </w:p>
    <w:p>
      <w:pPr>
        <w:spacing w:before="0" w:after="0" w:line="408" w:lineRule="exact"/>
        <w:ind w:left="0" w:right="0" w:firstLine="576"/>
        <w:jc w:val="left"/>
      </w:pPr>
      <w:r>
        <w:rPr/>
        <w:t xml:space="preserve">In addition to data on student enrollment in dual credit courses, the office of the superintendent of public instruction shall collect and post on the Washington state report card website the rates at which students earn college credit through a dual credit course,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w:t>
      </w:r>
      <w:r>
        <w:t>((</w:t>
      </w:r>
      <w:r>
        <w:rPr>
          <w:strike/>
        </w:rPr>
        <w:t xml:space="preserve">RCW 28A.600.290</w:t>
      </w:r>
      <w:r>
        <w:t>))</w:t>
      </w:r>
      <w:r>
        <w:rPr/>
        <w:t xml:space="preserve"> </w:t>
      </w:r>
      <w:r>
        <w:rPr>
          <w:u w:val="single"/>
        </w:rPr>
        <w:t xml:space="preserve">section 1 of this act</w:t>
      </w:r>
      <w:r>
        <w:rPr/>
        <w:t xml:space="preserve"> and are awarded credit by the partnering institution of higher education; </w:t>
      </w:r>
      <w:r>
        <w:t>((</w:t>
      </w:r>
      <w:r>
        <w:rPr>
          <w:strike/>
        </w:rPr>
        <w:t xml:space="preserve">and</w:t>
      </w:r>
      <w:r>
        <w:t>))</w:t>
      </w:r>
    </w:p>
    <w:p>
      <w:pPr>
        <w:spacing w:before="0" w:after="0" w:line="408" w:lineRule="exact"/>
        <w:ind w:left="0" w:right="0" w:firstLine="576"/>
        <w:jc w:val="left"/>
      </w:pPr>
      <w:r>
        <w:rPr/>
        <w:t xml:space="preserve">(5) Students who satisfy the dual enrollment and class performance requirements to earn college credit through a tech prep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w:t>
      </w:r>
      <w:r>
        <w:t>((</w:t>
      </w:r>
      <w:r>
        <w:rPr>
          <w:strike/>
        </w:rPr>
        <w:t xml:space="preserve">RCW 28A.600.290</w:t>
      </w:r>
      <w:r>
        <w:t>))</w:t>
      </w:r>
      <w:r>
        <w:rPr/>
        <w:t xml:space="preserve"> </w:t>
      </w:r>
      <w:r>
        <w:rPr>
          <w:u w:val="single"/>
        </w:rPr>
        <w:t xml:space="preserve">section 1 of this act</w:t>
      </w:r>
      <w:r>
        <w:rPr/>
        <w:t xml:space="preserve">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035</w:t>
      </w:r>
      <w:r>
        <w:rPr/>
        <w:t xml:space="preserve"> and 2019 c 272 s 1 are each amended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w:t>
      </w:r>
      <w:r>
        <w:t>((</w:t>
      </w:r>
      <w:r>
        <w:rPr>
          <w:strike/>
        </w:rPr>
        <w:t xml:space="preserve">under RCW 28A.600.290</w:t>
      </w:r>
      <w:r>
        <w:t>))</w:t>
      </w:r>
      <w:r>
        <w:rPr/>
        <w:t xml:space="preserve">,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w:t>
      </w:r>
      <w:r>
        <w:t>((</w:t>
      </w:r>
      <w:r>
        <w:rPr>
          <w:strike/>
        </w:rPr>
        <w:t xml:space="preserve">under RCW 28A.600.290</w:t>
      </w:r>
      <w:r>
        <w:t>))</w:t>
      </w:r>
      <w:r>
        <w:rPr/>
        <w:t xml:space="preserve">, during or before the 2019-20 academic year that are not accredited by a national accrediting body for concurrent enrollment must continue to meet the same quality and eligibility standards and obtain approval in a manner consistent with the procedure established by rules adopted </w:t>
      </w:r>
      <w:r>
        <w:t>((</w:t>
      </w:r>
      <w:r>
        <w:rPr>
          <w:strike/>
        </w:rPr>
        <w:t xml:space="preserve">under RCW 28A.600.290</w:t>
      </w:r>
      <w:r>
        <w:t>))</w:t>
      </w:r>
      <w:r>
        <w:rPr/>
        <w:t xml:space="preserve"> for the college in the high school program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w:t>
      </w:r>
      <w:r>
        <w:t>((</w:t>
      </w:r>
      <w:r>
        <w:rPr>
          <w:strike/>
        </w:rPr>
        <w:t xml:space="preserve">under RCW 28A.600.290</w:t>
      </w:r>
      <w:r>
        <w:t>))</w:t>
      </w:r>
      <w:r>
        <w:rPr/>
        <w:t xml:space="preserve">,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w:t>
      </w:r>
      <w:r>
        <w:t>((</w:t>
      </w:r>
      <w:r>
        <w:rPr>
          <w:strike/>
        </w:rPr>
        <w:t xml:space="preserve">under RCW 28A.600.290</w:t>
      </w:r>
      <w:r>
        <w:t>))</w:t>
      </w:r>
      <w:r>
        <w:rPr/>
        <w:t xml:space="preserve">.</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"College in the high school program" is a program that meets the requirements of section 1 of this act.</w:t>
      </w:r>
    </w:p>
    <w:p>
      <w:pPr>
        <w:spacing w:before="0" w:after="0" w:line="408" w:lineRule="exact"/>
        <w:ind w:left="0" w:right="0" w:firstLine="576"/>
        <w:jc w:val="left"/>
      </w:pPr>
      <w:r>
        <w:rPr>
          <w:u w:val="single"/>
        </w:rPr>
        <w:t xml:space="preserve">(b)</w:t>
      </w:r>
      <w:r>
        <w:rPr/>
        <w:t xml:space="preserve">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programs under RCW 28B.50.531 or the running start program.</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"Public high school" means a high school that is a public school as defined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2020 c 259 s 1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rPr/>
        <w:t xml:space="preserve">(iv)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rPr/>
        <w:t xml:space="preserve">(b) An eligible student enrolled in a college in the high school program may receive a scholarship for tuition fees as set forth under </w:t>
      </w:r>
      <w:r>
        <w:t>((</w:t>
      </w:r>
      <w:r>
        <w:rPr>
          <w:strike/>
        </w:rPr>
        <w:t xml:space="preserve">RCW 28A.600.290(5)(a)</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2018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28B.95.085.</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and (8).</w:t>
      </w:r>
    </w:p>
    <w:p>
      <w:pPr>
        <w:spacing w:before="0" w:after="0" w:line="408" w:lineRule="exact"/>
        <w:ind w:left="0" w:right="0" w:firstLine="576"/>
        <w:jc w:val="left"/>
      </w:pPr>
      <w:r>
        <w:rPr/>
        <w:t xml:space="preserve">(7) "Dual credit fees" means any fees charged to a student for participation in college in the high school under </w:t>
      </w:r>
      <w:r>
        <w:t>((</w:t>
      </w:r>
      <w:r>
        <w:rPr>
          <w:strike/>
        </w:rPr>
        <w:t xml:space="preserve">RCW 28A.600.290</w:t>
      </w:r>
      <w:r>
        <w:t>))</w:t>
      </w:r>
      <w:r>
        <w:rPr/>
        <w:t xml:space="preserve"> </w:t>
      </w:r>
      <w:r>
        <w:rPr>
          <w:u w:val="single"/>
        </w:rPr>
        <w:t xml:space="preserve">section 1 of this act</w:t>
      </w:r>
      <w:r>
        <w:rPr/>
        <w:t xml:space="preserve">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and (8).</w:t>
      </w:r>
    </w:p>
    <w:p>
      <w:pPr>
        <w:spacing w:before="0" w:after="0" w:line="408" w:lineRule="exact"/>
        <w:ind w:left="0" w:right="0" w:firstLine="576"/>
        <w:jc w:val="left"/>
      </w:pPr>
      <w:r>
        <w:rPr/>
        <w:t xml:space="preserve">(23) "Unit cash value price" means the total value of assets under management in the advanced college tuition payment program on a date to be determined by the committee, divided by the total number of outstanding units purchased by eligible purchasers before July 1, 2015, and any outstanding units accrued by eligible purchasers as a result of the July 2017 unit rebase. For purposes of this calculation, the total market value of assets shall exclude the total accumulated market value of
proceeds from units purchased after June 30, 2015.</w:t>
      </w:r>
    </w:p>
    <w:p>
      <w:pPr>
        <w:spacing w:before="0" w:after="0" w:line="408" w:lineRule="exact"/>
        <w:ind w:left="0" w:right="0" w:firstLine="576"/>
        <w:jc w:val="left"/>
      </w:pPr>
      <w:r>
        <w:rPr/>
        <w:t xml:space="preserve">(24)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
      <w:pPr>
        <w:jc w:val="center"/>
      </w:pPr>
      <w:r>
        <w:rPr>
          <w:b/>
        </w:rPr>
        <w:t>--- END ---</w:t>
      </w:r>
    </w:p>
    <w:sectPr>
      <w:pgNumType w:start="1"/>
      <w:footerReference xmlns:r="http://schemas.openxmlformats.org/officeDocument/2006/relationships" r:id="R5e0b0dea088341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fba0b439a48ca" /><Relationship Type="http://schemas.openxmlformats.org/officeDocument/2006/relationships/footer" Target="/word/footer1.xml" Id="R5e0b0dea088341f1" /></Relationships>
</file>