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02991ba9a41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Lekanoff, Goodman, Ramel, Orwall, Klippert, Bateman, Lovick,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amending RCW 36.16.030, 36.16.030, 36.17.020, 68.50.010, and 68.50.104; adding new sections to chapter 36.24 RCW; adding a new section to chapter 43.101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being elected or appointed to the office, a coroner or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This requirement does not apply to an elected prosecutor acting as the ex officio coroner in a county. All medicolegal investigative personnel employed by any coroner's or medical examiner's office must complete medicolegal forensic investigation training as required under section 3 of this act. A county in which the coroner or county medical examiner has not obtained such certification within 12 months of assuming office may have its reimbursement from the death investigations account reduced as provided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appointed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county in which a coroner, person serving as coroner, medical examiner, or other medicolegal investigative employee, who has not otherwise been exempted by the commission, is not certified within 12 months of being elected, appointed, or employed as required by this section, may have its reimbursement from the death investigations account reduced as provided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w:t>
      </w:r>
      <w:r>
        <w:rPr>
          <w:u w:val="single"/>
        </w:rPr>
        <w:t xml:space="preserve">the county legislative authority may determine that</w:t>
      </w:r>
      <w:r>
        <w:rPr/>
        <w:t xml:space="preserve"> no coroner shall be elected and </w:t>
      </w:r>
      <w:r>
        <w:t>((</w:t>
      </w:r>
      <w:r>
        <w:rPr>
          <w:strike/>
        </w:rPr>
        <w:t xml:space="preserve">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w:t>
      </w:r>
      <w:r>
        <w:rPr>
          <w:u w:val="single"/>
        </w:rPr>
        <w:t xml:space="preserve">instead appoint a coroner</w:t>
      </w:r>
      <w:r>
        <w:rPr/>
        <w:t xml:space="preserve">.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w:t>
      </w:r>
      <w:r>
        <w:t>((</w:t>
      </w:r>
      <w:r>
        <w:rPr>
          <w:strike/>
        </w:rPr>
        <w:t xml:space="preserve">and</w:t>
      </w:r>
      <w:r>
        <w:t>))</w:t>
      </w:r>
      <w:r>
        <w:rPr/>
        <w:t xml:space="preserve"> members of the county legislative authority, eleven thousand dollars; </w:t>
      </w:r>
      <w:r>
        <w:rPr>
          <w:u w:val="single"/>
        </w:rPr>
        <w:t xml:space="preserve">and coroner, $11,000 or on a per case basis as determined by the county legislative authority;</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nine thousand four hundred dollars; </w:t>
      </w:r>
      <w:r>
        <w:rPr>
          <w:u w:val="single"/>
        </w:rPr>
        <w:t xml:space="preserve">and coroner, $9,400 or on a per case basis as determined by the county legislative authority;</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seven thousand dollars; </w:t>
      </w:r>
      <w:r>
        <w:rPr>
          <w:u w:val="single"/>
        </w:rPr>
        <w:t xml:space="preserve">and coroner, $7,000 or on a per case basis as determined by the county legislative authority;</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sections 1 and 3 of this act, the state treasurer's office shall withhold 25 percent of autopsy reimbursement funds until accreditation under section 2 of this act or compliance with sections 1 and 3 of this act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2025.</w:t>
      </w:r>
    </w:p>
    <w:p/>
    <w:p>
      <w:pPr>
        <w:jc w:val="center"/>
      </w:pPr>
      <w:r>
        <w:rPr>
          <w:b/>
        </w:rPr>
        <w:t>--- END ---</w:t>
      </w:r>
    </w:p>
    <w:sectPr>
      <w:pgNumType w:start="1"/>
      <w:footerReference xmlns:r="http://schemas.openxmlformats.org/officeDocument/2006/relationships" r:id="R1288128ea8cb48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7d8e93e8a44c1" /><Relationship Type="http://schemas.openxmlformats.org/officeDocument/2006/relationships/footer" Target="/word/footer1.xml" Id="R1288128ea8cb48fd" /></Relationships>
</file>