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fdacde72844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Dolan, Callan, Pollet, Bateman, Ramel, Wicks, J. Johnson, Senn, Ryu, Duerr, Walen, Goehner, Valdez, Davis, Fey, Ramos, Santos, Simmons, Wylie, Slatter, Kloba, Stonier, Riccelli,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28A.500.015; reenacting and amending RCW 84.52.0531;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has impacted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 for the final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education agency's combined state revenue generated in the 2021-22 school year is less than what its combined state revenue would be using 2019-20 annual average enrollment values and formulas in place for the 2021-22 school year, then the superintendent of public instruction must provide an enrollment stabilization amount to the local education agency in the 2021-22 school year. The enrollment stabilization amount shall be equal to 50 percent of the local education agency low enrollment impact.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"Local education agency low enrollment impact"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38dbf4b9ad840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85d5a89644231" /><Relationship Type="http://schemas.openxmlformats.org/officeDocument/2006/relationships/footer" Target="/word/footer1.xml" Id="Re38dbf4b9ad8401e" /></Relationships>
</file>