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0ee24e41a42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Simmons, Cody, Bateman, Valdez, Davis, Macri, Slatter, Pollet, and Taylor; by request of Attorney General)</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charity care act; amending RCW 70.170.020 and 70.170.060;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 qualify for charity care pursuant to section 2(5) of this act based on the federal poverty level, adjusted for family size, and who have exhausted any third-party coverage.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r>
        <w:t>))</w:t>
      </w:r>
      <w:r>
        <w:rPr/>
        <w:t xml:space="preserve"> </w:t>
      </w:r>
      <w:r>
        <w:rPr>
          <w:u w:val="single"/>
        </w:rPr>
        <w:t xml:space="preserve">charity care. The policy shall include procedures for identifying patients </w:t>
      </w:r>
      <w:r>
        <w:rPr>
          <w:u w:val="single"/>
        </w:rPr>
        <w:t xml:space="preserve">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u w:val="single"/>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t>
      </w:r>
      <w:r>
        <w:rPr>
          <w:u w:val="single"/>
        </w:rPr>
        <w:t xml:space="preserve">which may be reduced by amounts reasonably related to assets considered pursuant to (c) of this subsection.</w:t>
      </w:r>
    </w:p>
    <w:p>
      <w:pPr>
        <w:spacing w:before="0" w:after="0" w:line="408" w:lineRule="exact"/>
        <w:ind w:left="0" w:right="0" w:firstLine="576"/>
        <w:jc w:val="left"/>
      </w:pPr>
      <w:r>
        <w:rPr>
          <w:u w:val="single"/>
        </w:rPr>
        <w:t xml:space="preserve">(b) At a minimum, a hospital not subject to (a) of this subsection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u w:val="single"/>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r>
        <w:rPr>
          <w:u w:val="single"/>
        </w:rPr>
        <w:t xml:space="preserve">.</w:t>
      </w:r>
    </w:p>
    <w:p>
      <w:pPr>
        <w:spacing w:before="0" w:after="0" w:line="408" w:lineRule="exact"/>
        <w:ind w:left="0" w:right="0" w:firstLine="576"/>
        <w:jc w:val="left"/>
      </w:pPr>
      <w:r>
        <w:rPr>
          <w:u w:val="single"/>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u w:val="single"/>
        </w:rPr>
        <w:t xml:space="preserve">(ii) If a hospital considers assets, the following types of assets shall be excluded from consideration:</w:t>
      </w:r>
    </w:p>
    <w:p>
      <w:pPr>
        <w:spacing w:before="0" w:after="0" w:line="408" w:lineRule="exact"/>
        <w:ind w:left="0" w:right="0" w:firstLine="576"/>
        <w:jc w:val="left"/>
      </w:pPr>
      <w:r>
        <w:rPr>
          <w:u w:val="single"/>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u w:val="single"/>
        </w:rPr>
        <w:t xml:space="preserve">(B) Any equity in a primary residence;</w:t>
      </w:r>
    </w:p>
    <w:p>
      <w:pPr>
        <w:spacing w:before="0" w:after="0" w:line="408" w:lineRule="exact"/>
        <w:ind w:left="0" w:right="0" w:firstLine="576"/>
        <w:jc w:val="left"/>
      </w:pPr>
      <w:r>
        <w:rPr>
          <w:u w:val="single"/>
        </w:rPr>
        <w:t xml:space="preserve">(C) Retirement plans other than 401(k) plans;</w:t>
      </w:r>
    </w:p>
    <w:p>
      <w:pPr>
        <w:spacing w:before="0" w:after="0" w:line="408" w:lineRule="exact"/>
        <w:ind w:left="0" w:right="0" w:firstLine="576"/>
        <w:jc w:val="left"/>
      </w:pPr>
      <w:r>
        <w:rPr>
          <w:u w:val="single"/>
        </w:rPr>
        <w:t xml:space="preserve">(D) One motor vehicle and a second motor vehicle if it is necessary for employment or medical purposes;</w:t>
      </w:r>
    </w:p>
    <w:p>
      <w:pPr>
        <w:spacing w:before="0" w:after="0" w:line="408" w:lineRule="exact"/>
        <w:ind w:left="0" w:right="0" w:firstLine="576"/>
        <w:jc w:val="left"/>
      </w:pPr>
      <w:r>
        <w:rPr>
          <w:u w:val="single"/>
        </w:rPr>
        <w:t xml:space="preserve">(E) Any prepaid burial contract or burial plot; and</w:t>
      </w:r>
    </w:p>
    <w:p>
      <w:pPr>
        <w:spacing w:before="0" w:after="0" w:line="408" w:lineRule="exact"/>
        <w:ind w:left="0" w:right="0" w:firstLine="576"/>
        <w:jc w:val="left"/>
      </w:pPr>
      <w:r>
        <w:rPr>
          <w:u w:val="single"/>
        </w:rPr>
        <w:t xml:space="preserve">(F) Any life insurance policy with a face value of $10,000 or less.</w:t>
      </w:r>
    </w:p>
    <w:p>
      <w:pPr>
        <w:spacing w:before="0" w:after="0" w:line="408" w:lineRule="exact"/>
        <w:ind w:left="0" w:right="0" w:firstLine="576"/>
        <w:jc w:val="left"/>
      </w:pPr>
      <w:r>
        <w:rPr>
          <w:u w:val="single"/>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u w:val="single"/>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u w:val="single"/>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u w:val="single"/>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u w:val="single"/>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Washington health benefit exchange, shall study and analyze how increasing eligibility for charity care impacts enrollment in health plans with high deductibles over a four-year time period.</w:t>
      </w:r>
    </w:p>
    <w:p>
      <w:pPr>
        <w:spacing w:before="0" w:after="0" w:line="408" w:lineRule="exact"/>
        <w:ind w:left="0" w:right="0" w:firstLine="576"/>
        <w:jc w:val="left"/>
      </w:pPr>
      <w:r>
        <w:rPr/>
        <w:t xml:space="preserve">(2) By November 1, 2026, the office of the insurance commissioner shall report to the health care committees of the legislature enrollment trends in health plans with high deductibles from January 1, 2023, through June 30, 2026. The one-time report shall include the number of individuals enrolled in high deductible plans for each year and by each county.</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care provided on or after July 1, 2022. This act does not affect the ability of a patient who received care prior to July 1, 2022, to receive charity care under RCW 70.170.020 and 70.170.060 as the sections existed before that date.</w:t>
      </w:r>
    </w:p>
    <w:p/>
    <w:p>
      <w:pPr>
        <w:jc w:val="center"/>
      </w:pPr>
      <w:r>
        <w:rPr>
          <w:b/>
        </w:rPr>
        <w:t>--- END ---</w:t>
      </w:r>
    </w:p>
    <w:sectPr>
      <w:pgNumType w:start="1"/>
      <w:footerReference xmlns:r="http://schemas.openxmlformats.org/officeDocument/2006/relationships" r:id="R2a2dc9f750a547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eb6bacb544eec" /><Relationship Type="http://schemas.openxmlformats.org/officeDocument/2006/relationships/footer" Target="/word/footer1.xml" Id="R2a2dc9f750a54775" /></Relationships>
</file>