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d0c6cdfb8c42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1736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Slatter, Leavitt, Valdez, Walen, Goodman, Gregerson, Ramel, Santos, Wylie, Paul, Simmons, Chopp, Bergquist, Pollet, J. Johnson, Riccelli, Ormsby,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in consultation with the office of the state treasurer and the state investment board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 with one option being a one percent interest rate;</w:t>
      </w:r>
    </w:p>
    <w:p>
      <w:pPr>
        <w:spacing w:before="0" w:after="0" w:line="408" w:lineRule="exact"/>
        <w:ind w:left="0" w:right="0" w:firstLine="576"/>
        <w:jc w:val="left"/>
      </w:pPr>
      <w:r>
        <w:rPr/>
        <w:t xml:space="preserve">(b) The distribution of loans between graduate students and undergraduate students;</w:t>
      </w:r>
    </w:p>
    <w:p>
      <w:pPr>
        <w:spacing w:before="0" w:after="0" w:line="408" w:lineRule="exact"/>
        <w:ind w:left="0" w:right="0" w:firstLine="576"/>
        <w:jc w:val="left"/>
      </w:pPr>
      <w:r>
        <w:rPr/>
        <w:t xml:space="preserve">(c)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rPr/>
        <w:t xml:space="preserve">(d)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rPr/>
        <w:t xml:space="preserve">(e)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rPr/>
        <w:t xml:space="preserve">(f)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state-based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shall contract with an independent actuary to conduct an analysis on the sustainability of the program design, including the ability of the program to operate as self-sustaining if issuing one percent interest rate loans.</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2022,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 Beginning in the 2024-25 academic year, the office may award student loans under the program to eligible students from the funds available in section 7 of this act.</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section 3 of this act. Student loans shall not be issued unless the program design recommended in section 3 of this act is forecasted by an independent actuary to be self-sustaining and the interest rates for the loans issued under the program do not exceed one percent.</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f8b756b65b3c4d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e8c195001429f" /><Relationship Type="http://schemas.openxmlformats.org/officeDocument/2006/relationships/footer" Target="/word/footer1.xml" Id="Rf8b756b65b3c4d95" /></Relationships>
</file>