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ae4bd533141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Peterson, Bateman, Macri, Wylie, Tharinger, and Ormsby; by request of Housing Finance Commission</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total amount of outstanding indebtedness of the Washington state housing finance commission; and amending RCW 43.180.160.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2018 c 78 s 1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eight billion dollars</w:t>
      </w:r>
      <w:r>
        <w:t>))</w:t>
      </w:r>
      <w:r>
        <w:rPr/>
        <w:t xml:space="preserve"> </w:t>
      </w:r>
      <w:r>
        <w:rPr>
          <w:u w:val="single"/>
        </w:rPr>
        <w:t xml:space="preserve">$14,000,000,000</w:t>
      </w:r>
      <w:r>
        <w:rPr/>
        <w:t xml:space="preserve">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w:t>
      </w:r>
      <w:r>
        <w:t>((</w:t>
      </w:r>
      <w:r>
        <w:rPr>
          <w:strike/>
        </w:rPr>
        <w:t xml:space="preserve">following</w:t>
      </w:r>
      <w:r>
        <w:t>))</w:t>
      </w:r>
      <w:r>
        <w:rPr/>
        <w:t xml:space="preserve"> income and rent restrictions </w:t>
      </w:r>
      <w:r>
        <w:rPr>
          <w:u w:val="single"/>
        </w:rPr>
        <w:t xml:space="preserve">in (c) and (d) of this subsection</w:t>
      </w:r>
      <w:r>
        <w:rPr/>
        <w:t xml:space="preserve">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
      <w:pPr>
        <w:jc w:val="center"/>
      </w:pPr>
      <w:r>
        <w:rPr>
          <w:b/>
        </w:rPr>
        <w:t>--- END ---</w:t>
      </w:r>
    </w:p>
    <w:sectPr>
      <w:pgNumType w:start="1"/>
      <w:footerReference xmlns:r="http://schemas.openxmlformats.org/officeDocument/2006/relationships" r:id="Ref0320cce0d2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1657d1b494bca" /><Relationship Type="http://schemas.openxmlformats.org/officeDocument/2006/relationships/footer" Target="/word/footer1.xml" Id="Ref0320cce0d24e17" /></Relationships>
</file>