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02d5c6f094e7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1765</w:t>
      </w:r>
    </w:p>
    <w:p>
      <w:pPr>
        <w:jc w:val="center"/>
        <w:spacing w:before="720" w:after="0" w:line="240"/>
      </w:pPr>
      <w:r>
        <w:t>67th Legislature</w:t>
      </w:r>
    </w:p>
    <w:p>
      <w:pPr>
        <w:jc w:val="center"/>
        <w:spacing w:before="0" w:after="1440" w:line="240"/>
      </w:pPr>
      <w:r>
        <w:t>2022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4,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1765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1765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Chopp, Cody, Macri, Ryu, Simmons, Wylie, Tharinger, Valdez, Pollet, Fitzgibbon, Chapman, Ortiz-Self, Stonier, Goodman, Riccelli, Davis, Taylor, and Kloba; by request of Office of Financial Management</w:t>
      </w:r>
    </w:p>
    <w:p/>
    <w:p>
      <w:r>
        <w:rPr>
          <w:t xml:space="preserve">Prefiled 01/04/22.</w:t>
        </w:rPr>
      </w:r>
      <w:r>
        <w:rPr>
          <w:t xml:space="preserve">Read first time 01/10/22.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ensuring the ongoing sustainability and vitality of the Washington health benefit exchange by eliminating the expiration date of its business and occupation tax exemption; and amending RCW 82.04.323.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323</w:t>
      </w:r>
      <w:r>
        <w:rPr/>
        <w:t xml:space="preserve"> and 2013 2nd sp.s. c 6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The taxes imposed by this chapter do not apply to amounts received by the Washington health benefit exchange established under chapter 43.71 RCW.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 This section expires July 1, 2023.</w:t>
      </w:r>
      <w:r>
        <w:t>))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b5473d07c2d4bf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1765.PL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2e73306a045d4" /><Relationship Type="http://schemas.openxmlformats.org/officeDocument/2006/relationships/footer" Target="/word/footer1.xml" Id="R4b5473d07c2d4bfa" /></Relationships>
</file>