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4bec6774cc40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1821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Schmick, Riccelli, Cody, and Graham)</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established relationship for purposes of audio-only telemedicine; amending RCW 41.05.700, 48.43.735, and 74.09.325; reenacting and amending RCW 71.24.335;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w:t>
      </w:r>
      <w:r>
        <w:rPr>
          <w:u w:val="single"/>
        </w:rPr>
        <w:t xml:space="preserve">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a9a6a3387cc449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eb93c75654281" /><Relationship Type="http://schemas.openxmlformats.org/officeDocument/2006/relationships/footer" Target="/word/footer1.xml" Id="Ra9a6a3387cc449f1" /></Relationships>
</file>