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02aed35e64503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2022-4653</w:t>
      </w:r>
      <w:r>
        <w:t xml:space="preserve">, by </w:t>
      </w:r>
      <w:r>
        <w:t>Representatives Thai, Pollet, Wicks, Orwall, Morgan, Fey, Walen, and Callan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Pediatric autoimmune neuropsychiatric disorders associated with streptococcal infection (PANDAS) and pediatric acute-onset neuropsychiatric syndromes (PANS) involve a misdirected autoimmune process that affects or weakens the blood-brain barrier in children;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Children afflicted with PANDAS or PANS display sudden, dramatic changes in personality manifesting as obsessive compulsive disorder (OCD), together with accompanying symptoms following a strep, bacterial, or viral infection;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Accompanying symptoms may include tics, intense fear or anxiety, depression, behavioral regression, deterioration in school performance, sensory sensitivities, severely restricted food intake, and more;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estimated that at least one in 200 children in the United States are affected by PANDAS/PANS;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Children with PANDAS/PANS can often go undiagnosed, misdiagnosed, or undertreated. PANDAS/PANS is likely as common as pediatric cancer and pediatric diabetes and can seriously affect health outcomes in a child's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Established standards of care for treatment of PANDAS/PANS include antibiotics, steroids, intravenous immunoglobulin, plasmapheresis, cognitive behavioral therapy, and anti-inflammatory medications and are used based on the needs of the child and the severity of an individual case;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Greater public awareness of this health issue is imperative to improve timely diagnosis and access to treatment so that health outcomes for affected children may be improved;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recognize and honor the patients and families affected by PANDAS/PANS and the practitioners who assist them.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2e15d9c24b71" /></Relationships>
</file>