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29ed471284086" /></Relationships>
</file>

<file path=word/document.xml><?xml version="1.0" encoding="utf-8"?>
<w:document xmlns:w="http://schemas.openxmlformats.org/wordprocessingml/2006/main">
  <w:body>
    <w:p>
      <w:r>
        <w:t>S-0174.1</w:t>
      </w:r>
    </w:p>
    <w:p>
      <w:pPr>
        <w:jc w:val="center"/>
      </w:pPr>
      <w:r>
        <w:t>_______________________________________________</w:t>
      </w:r>
    </w:p>
    <w:p/>
    <w:p>
      <w:pPr>
        <w:jc w:val="center"/>
      </w:pPr>
      <w:r>
        <w:rPr>
          <w:b/>
        </w:rPr>
        <w:t>SENATE BILL 5007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Conway, Kuderer, Nguyen, and Wilson, C.</w:t>
      </w:r>
    </w:p>
    <w:p/>
    <w:p>
      <w:r>
        <w:rPr>
          <w:t xml:space="preserve">Prefiled 12/09/20.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economic challenges facing Washington citizens from the COVID-19 pandemic through a temporary reduction in compliance and tax burden on electric utilities in order to lower costs and support direct utility assistance to low-income customers; amending RCW 19.285.040 and 19.405.060;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declared as state policy, in RCW 80.28.074, the preservation of affordable electric services to the residents of the state. The legislature finds that the COVID-19 pandemic has caused severe adverse economic impacts and made electric utility services unaffordable to many residents of the state as demonstrated by the growing number of customers with significant unpaid portions of their utility bills. The legislature finds that costs associated with legislation enacted prior to the COVID-19 pandemic will be incorporated into retail electric rates and exacerbate the financial hardship faced by electric utility customers. The legislature further finds that modest statutory changes are available that will reduce utility compliance costs with minimal to no impact on the fundamental goals of the legislation. The legislature therefore intends to provide certain temporary compliance relief to reduce costs to utilities and create financial support for utility customers economically impacted by COVID-19.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u w:val="single"/>
        </w:rPr>
        <w:t xml:space="preserve">(g) For the compliance periods January 1, 2020, to December 31, 2021, and January 1, 2022, to December 31, 2023, a qualifying utility is considered to be in compliance with its obligation under this subsection and with RCW 19.405.050(3), if the amount of funds the utility used to directly and indirectly assist retail customers coupled with the funds directed towards conservation during the compliance period equals or exceeds the amount of utility funds expended in the immediately previous compliance period to meet the obligations under this subsection. For the purposes of this subsection, indirect assistance of retail customers includes any arrearages in customer payments for rendered utility services.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w:t>
      </w:r>
      <w:r>
        <w:t>((</w:t>
      </w:r>
      <w:r>
        <w:rPr>
          <w:strike/>
        </w:rPr>
        <w:t xml:space="preserve">2030</w:t>
      </w:r>
      <w:r>
        <w:t>))</w:t>
      </w:r>
      <w:r>
        <w:rPr/>
        <w:t xml:space="preserve"> </w:t>
      </w:r>
      <w:r>
        <w:rPr>
          <w:u w:val="single"/>
        </w:rPr>
        <w:t xml:space="preserve">2021</w:t>
      </w:r>
      <w:r>
        <w:rPr/>
        <w:t xml:space="preserve">,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w:t>
      </w:r>
      <w:r>
        <w:rPr>
          <w:u w:val="single"/>
        </w:rPr>
        <w:t xml:space="preserve">or exceeding</w:t>
      </w:r>
      <w:r>
        <w:rPr/>
        <w:t xml:space="preserve"> one hundred percent of the utility's </w:t>
      </w:r>
      <w:r>
        <w:t>((</w:t>
      </w:r>
      <w:r>
        <w:rPr>
          <w:strike/>
        </w:rPr>
        <w:t xml:space="preserve">average</w:t>
      </w:r>
      <w:r>
        <w:t>))</w:t>
      </w:r>
      <w:r>
        <w:rPr/>
        <w:t xml:space="preserve"> annual retail electric load </w:t>
      </w:r>
      <w:r>
        <w:rPr>
          <w:u w:val="single"/>
        </w:rPr>
        <w:t xml:space="preserve">of the previous year</w:t>
      </w:r>
      <w:r>
        <w:rPr/>
        <w:t xml:space="preserve">.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060</w:t>
      </w:r>
      <w:r>
        <w:rPr/>
        <w:t xml:space="preserve"> and 2019 c 288 s 6 are each amended to read as follows:</w:t>
      </w:r>
    </w:p>
    <w:p>
      <w:pPr>
        <w:spacing w:before="0" w:after="0" w:line="408" w:lineRule="exact"/>
        <w:ind w:left="0" w:right="0" w:firstLine="576"/>
        <w:jc w:val="left"/>
      </w:pPr>
      <w:r>
        <w:rPr/>
        <w:t xml:space="preserve">(1)(a) By January 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RCW 19.405.040(1) and 19.405.050(1)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RCW 19.405.040(1)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RCW 19.405.040(1) and 19.405.050(1)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RCW 19.405.040(1) and 19.405.050(1) that:</w:t>
      </w:r>
    </w:p>
    <w:p>
      <w:pPr>
        <w:spacing w:before="0" w:after="0" w:line="408" w:lineRule="exact"/>
        <w:ind w:left="0" w:right="0" w:firstLine="576"/>
        <w:jc w:val="left"/>
      </w:pPr>
      <w:r>
        <w:rPr/>
        <w:t xml:space="preserve">(i) Proposes interim targets for meeting the standard under RCW 19.405.040(1)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RCW 19.405.040(1) and 19.405.050(1)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RCW 19.405.040(1) and 19.405.050(1) if, over the four-year compliance period, the average annual incremental cost of meeting the standards or the interim targets established under subsection (1) of this section equals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an investor-owned utility relies on (a) of this subsection as a basis for compliance with the standard under RCW 19.405.040(1),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(4)(a) A consumer-owned utility must be considered to be in compliance with the standards under RCW 19.405.040(1) and 19.405.050(1) if, over the four-year compliance period, the average annual incremental cost of meeting the standards or the interim targets established under subsection (2) of this section meets or exceeds a two percent increase of the consumer-owned utility's retail revenue requirement above the previous year. All costs included in the determination of cost impact must be directly attributable to actions necessary to comply with the requirements of RCW 19.405.040 and 19.405.050.</w:t>
      </w:r>
    </w:p>
    <w:p>
      <w:pPr>
        <w:spacing w:before="0" w:after="0" w:line="408" w:lineRule="exact"/>
        <w:ind w:left="0" w:right="0" w:firstLine="576"/>
        <w:jc w:val="left"/>
      </w:pPr>
      <w:r>
        <w:rPr/>
        <w:t xml:space="preserve">(b) If a consumer-owned utility relies on (a) of this subsection as a basis for compliance with the standard under RCW 19.405.040(1), and it has not met eighty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RCW 19.405.040(1)(b).</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0" w:after="0" w:line="408" w:lineRule="exact"/>
        <w:ind w:left="0" w:right="0" w:firstLine="576"/>
        <w:jc w:val="left"/>
      </w:pPr>
      <w:r>
        <w:rPr>
          <w:u w:val="single"/>
        </w:rPr>
        <w:t xml:space="preserve">(6) From January 1, 2022, through December 31, 2026, the requirements of this section and any associated compliance reporting are waived for any utility that uses electricity from: (a) Renewable resources as defined in RCW 19.285.030; and (b) nonemitting electric generation as defined in RCW 19.405.020, in an amount equal to or exceeding 80 percent of the utility's annual retail electric 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 savings to utilities under this act must be used for financial support to utility customers that have been economically impacted by COVID-19.</w:t>
      </w:r>
    </w:p>
    <w:p/>
    <w:p>
      <w:pPr>
        <w:jc w:val="center"/>
      </w:pPr>
      <w:r>
        <w:rPr>
          <w:b/>
        </w:rPr>
        <w:t>--- END ---</w:t>
      </w:r>
    </w:p>
    <w:sectPr>
      <w:pgNumType w:start="1"/>
      <w:footerReference xmlns:r="http://schemas.openxmlformats.org/officeDocument/2006/relationships" r:id="Rf2da55fd8dde40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4315372c7649e9" /><Relationship Type="http://schemas.openxmlformats.org/officeDocument/2006/relationships/footer" Target="/word/footer1.xml" Id="Rf2da55fd8dde408e" /></Relationships>
</file>