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f601b953e4bc3" /></Relationships>
</file>

<file path=word/document.xml><?xml version="1.0" encoding="utf-8"?>
<w:document xmlns:w="http://schemas.openxmlformats.org/wordprocessingml/2006/main">
  <w:body>
    <w:p>
      <w:r>
        <w:t>Z-0091.2</w:t>
      </w:r>
    </w:p>
    <w:p>
      <w:pPr>
        <w:jc w:val="center"/>
      </w:pPr>
      <w:r>
        <w:t>_______________________________________________</w:t>
      </w:r>
    </w:p>
    <w:p/>
    <w:p>
      <w:pPr>
        <w:jc w:val="center"/>
      </w:pPr>
      <w:r>
        <w:rPr>
          <w:b/>
        </w:rPr>
        <w:t>SENATE BILL 5010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Randall, Billig, Carlyle, Conway, Dhingra, Hasegawa, Hunt, Keiser, Kuderer, Liias, Lovelett, Nobles, Nguyen, Pedersen, Robinson, Rolfes, Saldaña, Stanford, Van De Wege, and Wilson, C.; by request of Insurance Commissioner and Office of the Governor</w:t>
      </w:r>
    </w:p>
    <w:p/>
    <w:p>
      <w:r>
        <w:rPr>
          <w:t xml:space="preserve">Prefiled 12/10/20.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credit scores to determine rates for personal lines of insurance; amending RCW 48.18.547, 48.18.610, and 48.19.035; adding a new section to chapter 48.19 RCW; creating a new section; repealing RCW 48.18.545;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use of credit scoring to calculate rates for personal lines of insurance is unfair and has a disproportionate economic impact on the poor and communities of color in our state. Consequently, no insurer engaged in writing personal lines of insurance including property and casualty coverage shall, in connection with underwriting of those lines of insurance, refuse to issue or renew a private insurance policy based upon an individual's credit information or history including, but not limited to, a numerical credit-based insurance score or other credit rating of an applicant or insured. Furthermore, no insurer shall file rates for personal lines of insurance based upon credit information including, but not limited to, a numerical credit-based insurance score or other credit rating of an applicant or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547</w:t>
      </w:r>
      <w:r>
        <w:rPr/>
        <w:t xml:space="preserve"> and 2006 c 8 s 211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in RCW 48.31B.005(1).</w:t>
      </w:r>
    </w:p>
    <w:p>
      <w:pPr>
        <w:spacing w:before="0" w:after="0" w:line="408" w:lineRule="exact"/>
        <w:ind w:left="0" w:right="0" w:firstLine="576"/>
        <w:jc w:val="left"/>
      </w:pPr>
      <w:r>
        <w:rPr/>
        <w:t xml:space="preserve">(b) "Claim" means a demand for monetary damages by a claimant.</w:t>
      </w:r>
    </w:p>
    <w:p>
      <w:pPr>
        <w:spacing w:before="0" w:after="0" w:line="408" w:lineRule="exact"/>
        <w:ind w:left="0" w:right="0" w:firstLine="576"/>
        <w:jc w:val="left"/>
      </w:pPr>
      <w:r>
        <w:rPr/>
        <w:t xml:space="preserve">(c)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(d) "Tier" </w:t>
      </w:r>
      <w:r>
        <w:t>((</w:t>
      </w:r>
      <w:r>
        <w:rPr>
          <w:strike/>
        </w:rPr>
        <w:t xml:space="preserve">has the same meaning as in RCW 48.18.545(1)(h)</w:t>
      </w:r>
      <w:r>
        <w:t>))</w:t>
      </w:r>
      <w:r>
        <w:rPr/>
        <w:t xml:space="preserve"> </w:t>
      </w:r>
      <w:r>
        <w:rPr>
          <w:u w:val="single"/>
        </w:rPr>
        <w:t xml:space="preserve">means a category within a single insurer into which insureds with substantially similar insuring, risk or exposure factors, and expense elements are placed for purposes of determining rate or premium</w:t>
      </w:r>
      <w:r>
        <w:rPr/>
        <w:t xml:space="preserve">.</w:t>
      </w:r>
    </w:p>
    <w:p>
      <w:pPr>
        <w:spacing w:before="0" w:after="0" w:line="408" w:lineRule="exact"/>
        <w:ind w:left="0" w:right="0" w:firstLine="576"/>
        <w:jc w:val="left"/>
      </w:pPr>
      <w:r>
        <w:rPr/>
        <w:t xml:space="preserve">(e) "Underwrite" or "underwriting" means the process of selecting, rejecting, or pricing a risk, and includes each of these activities:</w:t>
      </w:r>
    </w:p>
    <w:p>
      <w:pPr>
        <w:spacing w:before="0" w:after="0" w:line="408" w:lineRule="exact"/>
        <w:ind w:left="0" w:right="0" w:firstLine="576"/>
        <w:jc w:val="left"/>
      </w:pPr>
      <w:r>
        <w:rPr/>
        <w:t xml:space="preserve">(i) Evaluation, selection, and classification of risk, including placing a risk with an affiliate insurer that has higher rates and/or rating plan components that will result in higher premiums;</w:t>
      </w:r>
    </w:p>
    <w:p>
      <w:pPr>
        <w:spacing w:before="0" w:after="0" w:line="408" w:lineRule="exact"/>
        <w:ind w:left="0" w:right="0" w:firstLine="576"/>
        <w:jc w:val="left"/>
      </w:pPr>
      <w:r>
        <w:rPr/>
        <w:t xml:space="preserve">(ii) Application of classification plans, rates, rating rules, and rating tiers to an insured risk; and</w:t>
      </w:r>
    </w:p>
    <w:p>
      <w:pPr>
        <w:spacing w:before="0" w:after="0" w:line="408" w:lineRule="exact"/>
        <w:ind w:left="0" w:right="0" w:firstLine="576"/>
        <w:jc w:val="left"/>
      </w:pPr>
      <w:r>
        <w:rPr/>
        <w:t xml:space="preserve">(iii) Determining eligibility for:</w:t>
      </w:r>
    </w:p>
    <w:p>
      <w:pPr>
        <w:spacing w:before="0" w:after="0" w:line="408" w:lineRule="exact"/>
        <w:ind w:left="0" w:right="0" w:firstLine="576"/>
        <w:jc w:val="left"/>
      </w:pPr>
      <w:r>
        <w:rPr/>
        <w:t xml:space="preserve">(A) Insurance coverage provisions;</w:t>
      </w:r>
    </w:p>
    <w:p>
      <w:pPr>
        <w:spacing w:before="0" w:after="0" w:line="408" w:lineRule="exact"/>
        <w:ind w:left="0" w:right="0" w:firstLine="576"/>
        <w:jc w:val="left"/>
      </w:pPr>
      <w:r>
        <w:rPr/>
        <w:t xml:space="preserve">(B) Higher policy limits; or</w:t>
      </w:r>
    </w:p>
    <w:p>
      <w:pPr>
        <w:spacing w:before="0" w:after="0" w:line="408" w:lineRule="exact"/>
        <w:ind w:left="0" w:right="0" w:firstLine="576"/>
        <w:jc w:val="left"/>
      </w:pPr>
      <w:r>
        <w:rPr/>
        <w:t xml:space="preserve">(C) Premium payment plans.</w:t>
      </w:r>
    </w:p>
    <w:p>
      <w:pPr>
        <w:spacing w:before="0" w:after="0" w:line="408" w:lineRule="exact"/>
        <w:ind w:left="0" w:right="0" w:firstLine="576"/>
        <w:jc w:val="left"/>
      </w:pPr>
      <w:r>
        <w:rPr/>
        <w:t xml:space="preserve">(2) During each underwriting process, an insurer may consider the following factors only in combination with other substantive underwriting factors:</w:t>
      </w:r>
    </w:p>
    <w:p>
      <w:pPr>
        <w:spacing w:before="0" w:after="0" w:line="408" w:lineRule="exact"/>
        <w:ind w:left="0" w:right="0" w:firstLine="576"/>
        <w:jc w:val="left"/>
      </w:pPr>
      <w:r>
        <w:rPr/>
        <w:t xml:space="preserve">(a) An insured has inquired about the nature or scope of coverage under a medical malpractice insurance policy;</w:t>
      </w:r>
    </w:p>
    <w:p>
      <w:pPr>
        <w:spacing w:before="0" w:after="0" w:line="408" w:lineRule="exact"/>
        <w:ind w:left="0" w:right="0" w:firstLine="576"/>
        <w:jc w:val="left"/>
      </w:pPr>
      <w:r>
        <w:rPr/>
        <w:t xml:space="preserve">(b) An insured has notified their insurer about an incident that may be covered under the terms of their medical malpractice insurance policy, and that incident does not result in a claim; or</w:t>
      </w:r>
    </w:p>
    <w:p>
      <w:pPr>
        <w:spacing w:before="0" w:after="0" w:line="408" w:lineRule="exact"/>
        <w:ind w:left="0" w:right="0" w:firstLine="576"/>
        <w:jc w:val="left"/>
      </w:pPr>
      <w:r>
        <w:rPr/>
        <w:t xml:space="preserve">(c) A claim made against an insured was closed by the insurer without payment. An insurer may consider the effect of multiple claims if they have a significant effect on the insured's risk profile.</w:t>
      </w:r>
    </w:p>
    <w:p>
      <w:pPr>
        <w:spacing w:before="0" w:after="0" w:line="408" w:lineRule="exact"/>
        <w:ind w:left="0" w:right="0" w:firstLine="576"/>
        <w:jc w:val="left"/>
      </w:pPr>
      <w:r>
        <w:rPr/>
        <w:t xml:space="preserve">(3) If any underwriting activity related to the insured's risk profile results in higher premiums as described under subsection (1)(e)(i) and (ii) of this section or reduced coverage as described under subsection (1)(e)(iii) of this section, the insurer must provide written notice to the insured, in clear and simple language, that describes the significant risk factors which led to the underwriting action. The commissioner must adopt rules that define the components of a risk profile that require notice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610</w:t>
      </w:r>
      <w:r>
        <w:rPr/>
        <w:t xml:space="preserve"> and 2016 c 121 s 1 are each amended to read as follows:</w:t>
      </w:r>
    </w:p>
    <w:p>
      <w:pPr>
        <w:spacing w:before="0" w:after="0" w:line="408" w:lineRule="exact"/>
        <w:ind w:left="0" w:right="0" w:firstLine="576"/>
        <w:jc w:val="left"/>
      </w:pPr>
      <w:r>
        <w:rPr/>
        <w:t xml:space="preserve">(1) An insurer may include contractual benefits based on customer satisfaction as part of an insurance policy. The insurer must file the policy or endorsement for approval as required by RCW 48.18.100. The contractual benefits may include sums of money provided or credited to a policyholder if the policyholder is dissatisfied with the service provided by their insurer. A sum that is provided to or credited to a policyholder as part of an approved contractual benefit based on customer satisfaction is not "premium" for the purposes of RCW 48.18.170. A policy premium reduced by such a credit will be taxed on the full cost of the premium before application of the customer satisfaction credit.</w:t>
      </w:r>
    </w:p>
    <w:p>
      <w:pPr>
        <w:spacing w:before="0" w:after="0" w:line="408" w:lineRule="exact"/>
        <w:ind w:left="0" w:right="0" w:firstLine="576"/>
        <w:jc w:val="left"/>
      </w:pPr>
      <w:r>
        <w:rPr/>
        <w:t xml:space="preserve">(2) This section applies only to personal insurance as defined in RCW </w:t>
      </w:r>
      <w:r>
        <w:t>((</w:t>
      </w:r>
      <w:r>
        <w:rPr>
          <w:strike/>
        </w:rPr>
        <w:t xml:space="preserve">48.18.545(1)(g)</w:t>
      </w:r>
      <w:r>
        <w:t>))</w:t>
      </w:r>
      <w:r>
        <w:rPr/>
        <w:t xml:space="preserve"> </w:t>
      </w:r>
      <w:r>
        <w:rPr>
          <w:u w:val="single"/>
        </w:rPr>
        <w:t xml:space="preserve">48.19.035(1)(d)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 </w:t>
      </w:r>
      <w:r>
        <w:t>((</w:t>
      </w:r>
      <w:r>
        <w:rPr>
          <w:strike/>
        </w:rPr>
        <w:t xml:space="preserve">(d) "Insurance score" means a</w:t>
      </w:r>
      <w:r>
        <w:t>))</w:t>
      </w:r>
      <w:r>
        <w:rPr/>
        <w:t xml:space="preserve"> </w:t>
      </w:r>
      <w:r>
        <w:rPr>
          <w:u w:val="single"/>
        </w:rPr>
        <w:t xml:space="preserve">Credit history includes, but is not limited to, any</w:t>
      </w:r>
      <w:r>
        <w:rPr/>
        <w:t xml:space="preserve"> number or rating that is derived from an algorithm, computer application, model, or other process that is based in whole or in part on credit history.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w:t>
      </w:r>
      <w:r>
        <w:t>((</w:t>
      </w:r>
      <w:r>
        <w:rPr>
          <w:strike/>
        </w:rPr>
        <w:t xml:space="preserve">(a)</w:t>
      </w:r>
      <w:r>
        <w:t>))</w:t>
      </w:r>
      <w:r>
        <w:rPr/>
        <w:t xml:space="preserve"> Credit history shall not be used to determine personal insurance rates, premiums, or eligibility for coverage </w:t>
      </w:r>
      <w:r>
        <w:t>((</w:t>
      </w:r>
      <w:r>
        <w:rPr>
          <w:strike/>
        </w:rPr>
        <w:t xml:space="preserve">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strike/>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strike/>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strike/>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strike/>
        </w:rPr>
        <w:t xml:space="preserve">(b) The number of credit inquiries;</w:t>
      </w:r>
    </w:p>
    <w:p>
      <w:pPr>
        <w:spacing w:before="0" w:after="0" w:line="408" w:lineRule="exact"/>
        <w:ind w:left="0" w:right="0" w:firstLine="576"/>
        <w:jc w:val="left"/>
      </w:pPr>
      <w:r>
        <w:rPr>
          <w:strike/>
        </w:rPr>
        <w:t xml:space="preserve">(c) Credit history or an insurance score based on collection accounts identified with a medical industry code;</w:t>
      </w:r>
    </w:p>
    <w:p>
      <w:pPr>
        <w:spacing w:before="0" w:after="0" w:line="408" w:lineRule="exact"/>
        <w:ind w:left="0" w:right="0" w:firstLine="576"/>
        <w:jc w:val="left"/>
      </w:pPr>
      <w:r>
        <w:rPr>
          <w:strike/>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strike/>
        </w:rPr>
        <w:t xml:space="preserve">(e) The consumer's use of a particular type of credit card, charge card, or debit card; or</w:t>
      </w:r>
    </w:p>
    <w:p>
      <w:pPr>
        <w:spacing w:before="0" w:after="0" w:line="408" w:lineRule="exact"/>
        <w:ind w:left="0" w:right="0" w:firstLine="576"/>
        <w:jc w:val="left"/>
      </w:pPr>
      <w:r>
        <w:rPr>
          <w:strike/>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strike/>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commissioner may adopt rules to implement this section.</w:t>
      </w:r>
    </w:p>
    <w:p>
      <w:pPr>
        <w:spacing w:before="0" w:after="0" w:line="408" w:lineRule="exact"/>
        <w:ind w:left="0" w:right="0" w:firstLine="576"/>
        <w:jc w:val="left"/>
      </w:pPr>
      <w:r>
        <w:t>((</w:t>
      </w:r>
      <w:r>
        <w:rPr>
          <w:strike/>
        </w:rPr>
        <w:t xml:space="preserve">(6) This section applies to all personal insurance policies issued or renewed on or after June 30, 2003.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If an insurer's filed rates and rating rules for personal insurance use credit history:</w:t>
      </w:r>
    </w:p>
    <w:p>
      <w:pPr>
        <w:spacing w:before="0" w:after="0" w:line="408" w:lineRule="exact"/>
        <w:ind w:left="0" w:right="0" w:firstLine="576"/>
        <w:jc w:val="left"/>
      </w:pPr>
      <w:r>
        <w:rPr/>
        <w:t xml:space="preserve">(1) On or after January 1, 2022, the commissioner shall disapprove an insurer's filing of rates and rating rules for any type of personal insurance that uses credit history to determine its rates unless:</w:t>
      </w:r>
    </w:p>
    <w:p>
      <w:pPr>
        <w:spacing w:before="0" w:after="0" w:line="408" w:lineRule="exact"/>
        <w:ind w:left="0" w:right="0" w:firstLine="576"/>
        <w:jc w:val="left"/>
      </w:pPr>
      <w:r>
        <w:rPr/>
        <w:t xml:space="preserve">(a) The filing has the effect of removing credit history from the rates and rating rules for that type of insurance; or</w:t>
      </w:r>
    </w:p>
    <w:p>
      <w:pPr>
        <w:spacing w:before="0" w:after="0" w:line="408" w:lineRule="exact"/>
        <w:ind w:left="0" w:right="0" w:firstLine="576"/>
        <w:jc w:val="left"/>
      </w:pPr>
      <w:r>
        <w:rPr/>
        <w:t xml:space="preserve">(b) The insurer previously submitted a filing to remove the use of credit history from its rates and rating rules for that type of insurance and the commissioner approved that filing.</w:t>
      </w:r>
    </w:p>
    <w:p>
      <w:pPr>
        <w:spacing w:before="0" w:after="0" w:line="408" w:lineRule="exact"/>
        <w:ind w:left="0" w:right="0" w:firstLine="576"/>
        <w:jc w:val="left"/>
      </w:pPr>
      <w:r>
        <w:rPr/>
        <w:t xml:space="preserve">(2) Prior to January 1, 2023, if an insurer's filed rates and rating rules for personal insurance use credit history, the insurer must submit a filing to remove the use of credit from its rates and rating rules.</w:t>
      </w:r>
    </w:p>
    <w:p>
      <w:pPr>
        <w:spacing w:before="0" w:after="0" w:line="408" w:lineRule="exact"/>
        <w:ind w:left="0" w:right="0" w:firstLine="576"/>
        <w:jc w:val="left"/>
      </w:pPr>
      <w:r>
        <w:rPr/>
        <w:t xml:space="preserve">(3) Effective January 1, 2023, insurers must not use credit history to determine premiums for personal insurance policies issued or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(Underwriting restrictions that apply to personal insurance</w:t>
      </w:r>
      <w:r>
        <w:rPr>
          <w:rFonts w:ascii="Times New Roman" w:hAnsi="Times New Roman"/>
        </w:rPr>
        <w:t xml:space="preserve">—</w:t>
      </w:r>
      <w:r>
        <w:rPr/>
        <w:t xml:space="preserve">Credit history or insurance score</w:t>
      </w:r>
      <w:r>
        <w:rPr>
          <w:rFonts w:ascii="Times New Roman" w:hAnsi="Times New Roman"/>
        </w:rPr>
        <w:t xml:space="preserve">—</w:t>
      </w:r>
      <w:r>
        <w:rPr/>
        <w:t xml:space="preserve">Rules) and 2002 c 360 s 1, as now existing or hereafter amended, are each repealed, effective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2023.</w:t>
      </w:r>
    </w:p>
    <w:p/>
    <w:p>
      <w:pPr>
        <w:jc w:val="center"/>
      </w:pPr>
      <w:r>
        <w:rPr>
          <w:b/>
        </w:rPr>
        <w:t>--- END ---</w:t>
      </w:r>
    </w:p>
    <w:sectPr>
      <w:pgNumType w:start="1"/>
      <w:footerReference xmlns:r="http://schemas.openxmlformats.org/officeDocument/2006/relationships" r:id="R764d0992aa05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ea0e247c54465" /><Relationship Type="http://schemas.openxmlformats.org/officeDocument/2006/relationships/footer" Target="/word/footer1.xml" Id="R764d0992aa05433c" /></Relationships>
</file>