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a8f676aafa4dde" /></Relationships>
</file>

<file path=word/document.xml><?xml version="1.0" encoding="utf-8"?>
<w:document xmlns:w="http://schemas.openxmlformats.org/wordprocessingml/2006/main">
  <w:body>
    <w:p>
      <w:r>
        <w:t>S-0041.2</w:t>
      </w:r>
    </w:p>
    <w:p>
      <w:pPr>
        <w:jc w:val="center"/>
      </w:pPr>
      <w:r>
        <w:t>_______________________________________________</w:t>
      </w:r>
    </w:p>
    <w:p/>
    <w:p>
      <w:pPr>
        <w:jc w:val="center"/>
      </w:pPr>
      <w:r>
        <w:rPr>
          <w:b/>
        </w:rPr>
        <w:t>SENATE BILL 5012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Lovelett, Das, Kuderer, Nguyen, Robinson, Saldaña, Stanford, and Wilson, C.</w:t>
      </w:r>
    </w:p>
    <w:p/>
    <w:p>
      <w:r>
        <w:rPr>
          <w:t xml:space="preserve">Prefiled 12/14/20.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levy and collect a special excise tax on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short-term rentals facilitated through an internet-based short-term rental platform.</w:t>
      </w:r>
    </w:p>
    <w:p>
      <w:pPr>
        <w:spacing w:before="0" w:after="0" w:line="408" w:lineRule="exact"/>
        <w:ind w:left="0" w:right="0" w:firstLine="576"/>
        <w:jc w:val="left"/>
      </w:pPr>
      <w:r>
        <w:rPr/>
        <w:t xml:space="preserve">(c) The rate of tax under this section may not exceed ten percent on the sale of, or charge made for, the furnishing of lodging of a short-term rental subject to tax under chapter 82.08 RCW.</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e39cc73a95174a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5ee640e5b456a" /><Relationship Type="http://schemas.openxmlformats.org/officeDocument/2006/relationships/footer" Target="/word/footer1.xml" Id="Re39cc73a95174a90" /></Relationships>
</file>