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9696388b34718" /></Relationships>
</file>

<file path=word/document.xml><?xml version="1.0" encoding="utf-8"?>
<w:document xmlns:w="http://schemas.openxmlformats.org/wordprocessingml/2006/main">
  <w:body>
    <w:p>
      <w:r>
        <w:t>S-0141.3</w:t>
      </w:r>
    </w:p>
    <w:p>
      <w:pPr>
        <w:jc w:val="center"/>
      </w:pPr>
      <w:r>
        <w:t>_______________________________________________</w:t>
      </w:r>
    </w:p>
    <w:p/>
    <w:p>
      <w:pPr>
        <w:jc w:val="center"/>
      </w:pPr>
      <w:r>
        <w:rPr>
          <w:b/>
        </w:rPr>
        <w:t>SENATE BILL 5039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Mullet, Braun, Brown, Dozier, Fortunato, Gildon, Hawkins, Holy, Honeyford, King, McCune, Muzzall, Schoesler, Short, Van De Wege, Wagoner, Warnick, and Wilson, J.</w:t>
      </w:r>
    </w:p>
    <w:p/>
    <w:p>
      <w:r>
        <w:rPr>
          <w:t xml:space="preserve">Prefiled 12/24/20.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subjecting all gubernatorial emergency orders to legislative approval after thirty days; amending RCW 43.06.220;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subsection </w:t>
      </w:r>
      <w:r>
        <w:rPr>
          <w:u w:val="single"/>
        </w:rPr>
        <w:t xml:space="preserve">(1) or</w:t>
      </w:r>
      <w:r>
        <w:rPr/>
        <w:t xml:space="preserve"> (2) of this section may continue for longer than thirty days unless extended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in writing by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or orders</w:t>
      </w:r>
      <w:r>
        <w:rPr/>
        <w:t xml:space="preserve">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bbab7f7c44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8b62c208c49de" /><Relationship Type="http://schemas.openxmlformats.org/officeDocument/2006/relationships/footer" Target="/word/footer1.xml" Id="R4cbbab7f7c4449ad" /></Relationships>
</file>