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180cc19c94fa1" /></Relationships>
</file>

<file path=word/document.xml><?xml version="1.0" encoding="utf-8"?>
<w:document xmlns:w="http://schemas.openxmlformats.org/wordprocessingml/2006/main">
  <w:body>
    <w:p>
      <w:r>
        <w:t>Z-0145.2</w:t>
      </w:r>
    </w:p>
    <w:p>
      <w:pPr>
        <w:jc w:val="center"/>
      </w:pPr>
      <w:r>
        <w:t>_______________________________________________</w:t>
      </w:r>
    </w:p>
    <w:p/>
    <w:p>
      <w:pPr>
        <w:jc w:val="center"/>
      </w:pPr>
      <w:r>
        <w:rPr>
          <w:b/>
        </w:rPr>
        <w:t>SENATE BILL 5090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Conway, Liias, Lovelett, Nguyen, Saldaña, Stanford, and Wilson, C.; by request of Office of the Governor</w:t>
      </w:r>
    </w:p>
    <w:p/>
    <w:p>
      <w:r>
        <w:rPr>
          <w:t xml:space="preserve">Prefiled 01/06/21.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five working days of the effective date of the order by making an application to the superior court of the county wherein such condition of employment or practice exists for injunctive relief or temporary restraining. Upon the filing of any such petition, the superior courts of the state of Washington shall have jurisdiction to grant such injunctive relief or temporary restraining order pending the outcome of enforcement proceedings pursuant to this chapter.</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 materially adverse action.</w:t>
      </w:r>
    </w:p>
    <w:p>
      <w:pPr>
        <w:spacing w:before="0" w:after="0" w:line="408" w:lineRule="exact"/>
        <w:ind w:left="0" w:right="0" w:firstLine="576"/>
        <w:jc w:val="left"/>
      </w:pPr>
      <w:r>
        <w:rPr>
          <w:u w:val="single"/>
        </w:rPr>
        <w:t xml:space="preserve">(b) For purposes of this section, "materially adverse action" is action which would: (i) Deter a reasonable employee from exercising their rights under this chapter; or (ii) have a chilling effect on a reasonable employee's engagement in protected activities.</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assessing a civil penalty. Such relief may include, but is not limited to, the following:</w:t>
      </w:r>
    </w:p>
    <w:p>
      <w:pPr>
        <w:spacing w:before="0" w:after="0" w:line="408" w:lineRule="exact"/>
        <w:ind w:left="0" w:right="0" w:firstLine="576"/>
        <w:jc w:val="left"/>
      </w:pPr>
      <w:r>
        <w:rPr>
          <w:u w:val="single"/>
        </w:rPr>
        <w:t xml:space="preserve">(i) Restoring the employee to the position of employment held by the employee when the discrimination occurred, or restoring the employee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employee earnings that the employee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(b)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u w:val="single"/>
        </w:rPr>
        <w:t xml:space="preserve">(6) The department must notify an employer and an employee of a citation and notice of assessment issued under subsection (4) of this section using a method by which the mailing can be tracked or the delivery can be confirmed. Citations and notices of assessments shall state that the employer has 15 working days within which to notify the department that the employer wishes to appeal the citation. If, within 15 working days from the communication of the notice issued by the director, the employer fails to notify the department that the employer intends to appeal the citation, the citation shall be deemed a final order of the department and not subject to review by any court or agency.</w:t>
      </w:r>
    </w:p>
    <w:p>
      <w:pPr>
        <w:spacing w:before="0" w:after="0" w:line="408" w:lineRule="exact"/>
        <w:ind w:left="0" w:right="0" w:firstLine="576"/>
        <w:jc w:val="left"/>
      </w:pPr>
      <w:r>
        <w:rPr>
          <w:u w:val="single"/>
        </w:rPr>
        <w:t xml:space="preserve">(7) If an employer notifies the department of an appeal, the department may reassume jurisdiction according to the timeline under RCW 49.17.140(4). The redetermination shall become final subject to direct appeal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daily penalty for a failure to abatement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a9127a96eeb447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40a522cca4599" /><Relationship Type="http://schemas.openxmlformats.org/officeDocument/2006/relationships/footer" Target="/word/footer1.xml" Id="Ra9127a96eeb44793" /></Relationships>
</file>