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dabf696274e4f" /></Relationships>
</file>

<file path=word/document.xml><?xml version="1.0" encoding="utf-8"?>
<w:document xmlns:w="http://schemas.openxmlformats.org/wordprocessingml/2006/main">
  <w:body>
    <w:p>
      <w:r>
        <w:t>S-1047.5</w:t>
      </w:r>
    </w:p>
    <w:p>
      <w:pPr>
        <w:jc w:val="center"/>
      </w:pPr>
      <w:r>
        <w:t>_______________________________________________</w:t>
      </w:r>
    </w:p>
    <w:p/>
    <w:p>
      <w:pPr>
        <w:jc w:val="center"/>
      </w:pPr>
      <w:r>
        <w:rPr>
          <w:b/>
        </w:rPr>
        <w:t>SUBSTITUTE SENATE BILL 5096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Robinson, Hunt, Nguyen, and Wilson, C.; by request of Office of Financial Management)</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gains from the sale or exchange of certain capital assets; adding a new section to chapter 82.04 RCW; adding a new section to chapter 82.32 RCW; adding a new chapter to Title 82 RCW; creating new sections; prescribing penalties;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107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107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107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has the same meaning as in RCW 82.45.032.</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includes any portion of a day, except that a continuous period of 24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less $250,000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and no such amount is allowed as a carryover for use in the calculation of that individual's adjusted capital gain, as defined in section 101(1)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107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 an individual is considered to be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All real estate;</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12 months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10 years prior to the date of the sale or exchange of the agricultural land;</w:t>
      </w:r>
    </w:p>
    <w:p>
      <w:pPr>
        <w:spacing w:before="0" w:after="0" w:line="408" w:lineRule="exact"/>
        <w:ind w:left="0" w:right="0" w:firstLine="576"/>
        <w:jc w:val="left"/>
      </w:pPr>
      <w:r>
        <w:rPr/>
        <w:t xml:space="preserve">(6) Property used in a trade or business if the property is depreciable under Title 26 U.S.C. Sec. 167 of the internal revenue code, or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 and</w:t>
      </w:r>
    </w:p>
    <w:p>
      <w:pPr>
        <w:spacing w:before="0" w:after="0" w:line="408" w:lineRule="exact"/>
        <w:ind w:left="0" w:right="0" w:firstLine="576"/>
        <w:jc w:val="left"/>
      </w:pPr>
      <w:r>
        <w:rPr/>
        <w:t xml:space="preserve">(8)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50 full-time employees at any time during the 12-month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1,820 hours of employment, including paid leave, for the 12-month period described in (d)(iii)(A) of this subsection (2); and</w:t>
      </w:r>
    </w:p>
    <w:p>
      <w:pPr>
        <w:spacing w:before="0" w:after="0" w:line="408" w:lineRule="exact"/>
        <w:ind w:left="0" w:right="0" w:firstLine="576"/>
        <w:jc w:val="left"/>
      </w:pPr>
      <w:r>
        <w:rPr/>
        <w:t xml:space="preserve">(iv) That had worldwide gross revenue of $6,000,000 or less in the 12-month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gains by another taxing jurisdiction.</w:t>
      </w:r>
    </w:p>
    <w:p>
      <w:pPr>
        <w:spacing w:before="0" w:after="0" w:line="408" w:lineRule="exact"/>
        <w:ind w:left="0" w:right="0" w:firstLine="576"/>
        <w:jc w:val="left"/>
      </w:pPr>
      <w:r>
        <w:rPr/>
        <w:t xml:space="preserve">(c)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any provision of this chapter found to be ambiguous by any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102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includes, but is not limited to, the taxes imposed in, or under the authority of, chapters 82.04, 82.08, 82.12, 82.14, 82.16, and 82.--- RCW (the new chapter created in section 202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first $350,000,000 in revenues from taxes collected under this chapter during any calendar year, as well as penalties and interest collected during the calendar year, must be deposited into the education legacy trust account created under RCW 83.100.230. The remainder shall be deposited into the taxpayer relief account hereby created in the state treasury.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112 and 115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102 of this act unconstitutional, or otherwise invalid, in its entirety, section 113 of this act is null and void in its entirety. Any credits previously claimed under section 113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dcaf93eeb0c4a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d60d17e8d43fc" /><Relationship Type="http://schemas.openxmlformats.org/officeDocument/2006/relationships/footer" Target="/word/footer1.xml" Id="R5dcaf93eeb0c4af9" /></Relationships>
</file>