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caee314fa43c9" /></Relationships>
</file>

<file path=word/document.xml><?xml version="1.0" encoding="utf-8"?>
<w:document xmlns:w="http://schemas.openxmlformats.org/wordprocessingml/2006/main">
  <w:body>
    <w:p>
      <w:r>
        <w:t>S-0378.1</w:t>
      </w:r>
    </w:p>
    <w:p>
      <w:pPr>
        <w:jc w:val="center"/>
      </w:pPr>
      <w:r>
        <w:t>_______________________________________________</w:t>
      </w:r>
    </w:p>
    <w:p/>
    <w:p>
      <w:pPr>
        <w:jc w:val="center"/>
      </w:pPr>
      <w:r>
        <w:rPr>
          <w:b/>
        </w:rPr>
        <w:t>SENATE BILL 5157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Dhingra, and Nobles</w:t>
      </w:r>
    </w:p>
    <w:p/>
    <w:p>
      <w:r>
        <w:rPr>
          <w:t xml:space="preserve">Read first time 01/12/21.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reduce involvement by persons with behavioral disorders in the criminal justice system; amending RCW 70.320.020 and 70.320.030;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67 percent during this five-year period, while the overall rate of arrest declined by 11 percent. According to the same data source, referrals for state mental health services related to competency to stand trial have increased by 64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 </w:t>
      </w:r>
      <w:r>
        <w:t>((</w:t>
      </w:r>
      <w:r>
        <w:rPr>
          <w:strike/>
        </w:rPr>
        <w:t xml:space="preserve">a</w:t>
      </w:r>
      <w:r>
        <w:t>))</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(ii) performance measures which track rates of criminal justice system involvement among public health system clients with an identified behavioral health need including, but not limited to, rates of arrest and incarceration; and (iii)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December 1,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Pr>
        <w:spacing w:before="0" w:after="0" w:line="408" w:lineRule="exact"/>
        <w:ind w:left="0" w:right="0" w:firstLine="576"/>
        <w:jc w:val="left"/>
      </w:pPr>
      <w:r>
        <w:rPr>
          <w:u w:val="single"/>
        </w:rPr>
        <w:t xml:space="preserve">(3) The authority shall amend managed health care contracts with service contracting entities by July 1, 2022, to require contractors to implement mandatory performance improvement projects related to achieving outcomes under RCW 70.320.020 related to reducing client involvement with criminal justice systems where there is an identifiable behavioral health need.</w:t>
      </w:r>
    </w:p>
    <w:p>
      <w:pPr>
        <w:spacing w:before="0" w:after="0" w:line="408" w:lineRule="exact"/>
        <w:ind w:left="0" w:right="0" w:firstLine="576"/>
        <w:jc w:val="left"/>
      </w:pPr>
      <w:r>
        <w:rPr>
          <w:u w:val="single"/>
        </w:rPr>
        <w:t xml:space="preserve">(4) The authority shall integrate value-based purchasing terms relating to criminal justice outcomes under RCW 70.320.020 and this section into managed health care contracts by January 1, 2023.</w:t>
      </w:r>
    </w:p>
    <w:p/>
    <w:p>
      <w:pPr>
        <w:jc w:val="center"/>
      </w:pPr>
      <w:r>
        <w:rPr>
          <w:b/>
        </w:rPr>
        <w:t>--- END ---</w:t>
      </w:r>
    </w:p>
    <w:sectPr>
      <w:pgNumType w:start="1"/>
      <w:footerReference xmlns:r="http://schemas.openxmlformats.org/officeDocument/2006/relationships" r:id="R1e3f9cefd5cd48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1e6fae4954c35" /><Relationship Type="http://schemas.openxmlformats.org/officeDocument/2006/relationships/footer" Target="/word/footer1.xml" Id="R1e3f9cefd5cd483f" /></Relationships>
</file>