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52b9248b84fa3" /></Relationships>
</file>

<file path=word/document.xml><?xml version="1.0" encoding="utf-8"?>
<w:document xmlns:w="http://schemas.openxmlformats.org/wordprocessingml/2006/main">
  <w:body>
    <w:p>
      <w:r>
        <w:t>S-0349.1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5164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Darneille, Das, Kuderer, Hasegawa, Liias, Saldaña, Salomon, and Wilson, C.</w:t>
      </w:r>
    </w:p>
    <w:p/>
    <w:p>
      <w:r>
        <w:rPr>
          <w:t xml:space="preserve">Read first time 01/12/21.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resentencing of individuals sentenced as a persistent offender due to a robbery in the second degree conviction;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In any criminal case wherein an offender has been sentenced as a persistent offender before July 28, 2019, the offender must have a resentencing hearing if a current or past conviction for robbery in the second degree was used as a basis for the finding that the offender was a persistent offender. The prosecuting attorney for the county in which any offender was sentenced as a persistent offender shall review each sentencing document. If a current or past conviction for robbery in the second degree was used as a basis for a finding that an offender was a persistent offender, the prosecuting attorney shall, or the offender may, make a motion for relief from sentence to the original sentencing court.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sentencing court shall grant the motion if it finds that a current or past conviction for robbery in the second degree was used as a basis for a finding that the offender was a persistent offender and shall immediately set an expedited date for resentencing. At resentencing, the court shall sentence the offender as if robbery in the second degree was not a most serious offense at the time the original sentence was imposed.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July 1, 2023.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ad24b3e58d0406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5164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0cc142c9044c1" /><Relationship Type="http://schemas.openxmlformats.org/officeDocument/2006/relationships/footer" Target="/word/footer1.xml" Id="Rcad24b3e58d04066" /></Relationships>
</file>