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f4bcba689436e" /></Relationships>
</file>

<file path=word/document.xml><?xml version="1.0" encoding="utf-8"?>
<w:document xmlns:w="http://schemas.openxmlformats.org/wordprocessingml/2006/main">
  <w:body>
    <w:p>
      <w:r>
        <w:t>S-0642.1</w:t>
      </w:r>
    </w:p>
    <w:p>
      <w:pPr>
        <w:jc w:val="center"/>
      </w:pPr>
      <w:r>
        <w:t>_______________________________________________</w:t>
      </w:r>
    </w:p>
    <w:p/>
    <w:p>
      <w:pPr>
        <w:jc w:val="center"/>
      </w:pPr>
      <w:r>
        <w:rPr>
          <w:b/>
        </w:rPr>
        <w:t>SUBSTITUTE SENATE BILL 5211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Frockt, Mullet, Conway, Kuderer, and Rolfes)</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an amount equal to 100 percent of the then-current assessed value of real property in an increment area, minus the tax allocation base value. If this amount is negative, the increment value shall be equal to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supportive of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A local government can have no more than three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(d) The ordinance must set a sunset date for the increment area, which may be no more than 25 years after the adoption of the ordinance designating the increment area;</w:t>
      </w:r>
    </w:p>
    <w:p>
      <w:pPr>
        <w:spacing w:before="0" w:after="0" w:line="408" w:lineRule="exact"/>
        <w:ind w:left="0" w:right="0" w:firstLine="576"/>
        <w:jc w:val="left"/>
      </w:pPr>
      <w:r>
        <w:rPr/>
        <w:t xml:space="preserve">(e) The ordinance must indicate whether the local government intends to issue bonds or other obligations, payable in whole or in part, from tax allocation revenues to finance the public improvement costs, and must estimate the maximum amount of obligations contemplated; and</w:t>
      </w:r>
    </w:p>
    <w:p>
      <w:pPr>
        <w:spacing w:before="0" w:after="0" w:line="408" w:lineRule="exact"/>
        <w:ind w:left="0" w:right="0" w:firstLine="576"/>
        <w:jc w:val="left"/>
      </w:pPr>
      <w:r>
        <w:rPr/>
        <w:t xml:space="preserve">(f)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consider a project analysis that shall include, but need not be limited to, the following:</w:t>
      </w:r>
    </w:p>
    <w:p>
      <w:pPr>
        <w:spacing w:before="0" w:after="0" w:line="408" w:lineRule="exact"/>
        <w:ind w:left="0" w:right="0" w:firstLine="576"/>
        <w:jc w:val="left"/>
      </w:pPr>
      <w:r>
        <w:rPr/>
        <w:t xml:space="preserve">(a) A statement of objectives of the local government designating the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increment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most recent assessed value of real property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an impact for the local school district or districts, then the local government must confer with the impacted school district or districts to negotiate the necessary mitigation.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 the state for the support of the common schools under RCW 84.52.065.</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2(1)(d)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publication of notice as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a16af2b9b2e47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0cbf4dee14700" /><Relationship Type="http://schemas.openxmlformats.org/officeDocument/2006/relationships/footer" Target="/word/footer1.xml" Id="Rca16af2b9b2e4774" /></Relationships>
</file>