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aa2ad15dc34aee" /></Relationships>
</file>

<file path=word/document.xml><?xml version="1.0" encoding="utf-8"?>
<w:document xmlns:w="http://schemas.openxmlformats.org/wordprocessingml/2006/main">
  <w:body>
    <w:p>
      <w:r>
        <w:t>S-0527.1</w:t>
      </w:r>
    </w:p>
    <w:p>
      <w:pPr>
        <w:jc w:val="center"/>
      </w:pPr>
      <w:r>
        <w:t>_______________________________________________</w:t>
      </w:r>
    </w:p>
    <w:p/>
    <w:p>
      <w:pPr>
        <w:jc w:val="center"/>
      </w:pPr>
      <w:r>
        <w:rPr>
          <w:b/>
        </w:rPr>
        <w:t>SENATE BILL 5328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Lovelett, Dhingra, Darneille, Das, Frockt, Nguyen, Nobles, and Wilson, C.</w:t>
      </w:r>
    </w:p>
    <w:p/>
    <w:p>
      <w:r>
        <w:rPr>
          <w:t xml:space="preserve">Read first time 01/22/21.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clubhouses for persons with mental illness; reenacting and amending RCW 71.24.385;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 clubhouse is a member organization where people living with mental illness can find fellowship, hope, opportunity, and recovery. Clubhouse programs offer vocational training, wellness programs, employment opportunities, participative community, and an end to isolation for persons whose lives have been severely disrupted by mental illness.</w:t>
      </w:r>
    </w:p>
    <w:p>
      <w:pPr>
        <w:spacing w:before="0" w:after="0" w:line="408" w:lineRule="exact"/>
        <w:ind w:left="0" w:right="0" w:firstLine="576"/>
        <w:jc w:val="left"/>
      </w:pPr>
      <w:r>
        <w:rPr/>
        <w:t xml:space="preserve">(2) Strong evidence supports the clubhouse model when implemented with fidelity. The most effective clubhouses obtain development training, support, and accreditation through clubhouse international.</w:t>
      </w:r>
    </w:p>
    <w:p>
      <w:pPr>
        <w:spacing w:before="0" w:after="0" w:line="408" w:lineRule="exact"/>
        <w:ind w:left="0" w:right="0" w:firstLine="576"/>
        <w:jc w:val="left"/>
      </w:pPr>
      <w:r>
        <w:rPr/>
        <w:t xml:space="preserve">(3) Washington state supports several clubhouse programs using general fund dollars but has not followed the lead of states like Michigan and Indiana by incorporating the clubhouse modality into its medicaid state plan. As a result, the state underfunds clubhouse programs using unleveraged state dollars, a well-intentioned strategy that unfortunately prevents clubhouse programs from spreading widely throughout the state or reaching their full potential to assist persons with mental illness to find community and new purpose in recovery.</w:t>
      </w:r>
    </w:p>
    <w:p>
      <w:pPr>
        <w:spacing w:before="0" w:after="0" w:line="408" w:lineRule="exact"/>
        <w:ind w:left="0" w:right="0" w:firstLine="576"/>
        <w:jc w:val="left"/>
      </w:pPr>
      <w:r>
        <w:rPr/>
        <w:t xml:space="preserve">(4) Adding the clubhouse modality to the state medicaid plan provides the opportunity to fund clubhouses sustainably in an efficient way for taxpayers by leveraging federal financial participation. This policy further provides the opportunity to incentivize clubhouse certification to the clubhouse international model and to provide a streamlined behavioral health agency licensing process tailored for clubhouses and other peer-run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2019 c 325 s 1023 and 2019 c 264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w:t>
      </w:r>
      <w:r>
        <w:rPr>
          <w:u w:val="single"/>
        </w:rPr>
        <w:t xml:space="preserve">Clubhouses accredited by clubhouse international or pursuing accreditation by that body;</w:t>
      </w:r>
    </w:p>
    <w:p>
      <w:pPr>
        <w:spacing w:before="0" w:after="0" w:line="408" w:lineRule="exact"/>
        <w:ind w:left="0" w:right="0" w:firstLine="576"/>
        <w:jc w:val="left"/>
      </w:pPr>
      <w:r>
        <w:rPr>
          <w:u w:val="single"/>
        </w:rPr>
        <w:t xml:space="preserve">(viii)</w:t>
      </w:r>
      <w:r>
        <w:rPr/>
        <w:t xml:space="preserve"> Community support services;</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Resource management services; and</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health care authority shall seek a state plan amendment and any necessary additional steps needed to incorporate the clubhouse modality into the state medicaid plan by December 31, 2022.</w:t>
      </w:r>
    </w:p>
    <w:p>
      <w:pPr>
        <w:spacing w:before="0" w:after="0" w:line="408" w:lineRule="exact"/>
        <w:ind w:left="0" w:right="0" w:firstLine="576"/>
        <w:jc w:val="left"/>
      </w:pPr>
      <w:r>
        <w:rPr/>
        <w:t xml:space="preserve">(2) Participation in medicaid funding must require the clubhouse to be accredited by clubhouse international or to be in the process of pursuing accreditation by that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work with stakeholders to identify changes to behavioral health agency rules to streamline licensure requirements for clubhouses and other peer-run organizations and adopt necessary rule changes by December 31, 2021.</w:t>
      </w:r>
    </w:p>
    <w:p/>
    <w:p>
      <w:pPr>
        <w:jc w:val="center"/>
      </w:pPr>
      <w:r>
        <w:rPr>
          <w:b/>
        </w:rPr>
        <w:t>--- END ---</w:t>
      </w:r>
    </w:p>
    <w:sectPr>
      <w:pgNumType w:start="1"/>
      <w:footerReference xmlns:r="http://schemas.openxmlformats.org/officeDocument/2006/relationships" r:id="R5668a74a8ab242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2c55660cf34bdb" /><Relationship Type="http://schemas.openxmlformats.org/officeDocument/2006/relationships/footer" Target="/word/footer1.xml" Id="R5668a74a8ab24231" /></Relationships>
</file>