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f377ea1ca4db8" /></Relationships>
</file>

<file path=word/document.xml><?xml version="1.0" encoding="utf-8"?>
<w:document xmlns:w="http://schemas.openxmlformats.org/wordprocessingml/2006/main">
  <w:body>
    <w:p>
      <w:r>
        <w:t>S-0584.1</w:t>
      </w:r>
    </w:p>
    <w:p>
      <w:pPr>
        <w:jc w:val="center"/>
      </w:pPr>
      <w:r>
        <w:t>_______________________________________________</w:t>
      </w:r>
    </w:p>
    <w:p/>
    <w:p>
      <w:pPr>
        <w:jc w:val="center"/>
      </w:pPr>
      <w:r>
        <w:rPr>
          <w:b/>
        </w:rPr>
        <w:t>SENATE BILL 5372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Warnick, Conway, Hasegawa, Saldaña, and Wilson, J.</w:t>
      </w:r>
    </w:p>
    <w:p/>
    <w:p>
      <w:r>
        <w:rPr>
          <w:t xml:space="preserve">Read first time 01/28/21.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hemp processor registration process; amending RCW 15.140.020 and 15.140.060;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and establish a hemp processor registration necessary for entrance and compliance with interstate and international commerce and business requirements or stipulations in regard to hemp processing. A voluntary registration for processing in lieu of a hemp processor license will allow persons or companies to ship transitional or final hemp products to states and countries that require a hemp processor license or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2019 c 158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 </w:t>
      </w:r>
      <w:r>
        <w:rPr>
          <w:u w:val="single"/>
        </w:rPr>
        <w:t xml:space="preserve">"Hemp processor" means a person who takes possession of raw hemp material with the intent to modify, package, or sell a transitional or finished hemp product.</w:t>
      </w:r>
    </w:p>
    <w:p>
      <w:pPr>
        <w:spacing w:before="0" w:after="0" w:line="408" w:lineRule="exact"/>
        <w:ind w:left="0" w:right="0" w:firstLine="576"/>
        <w:jc w:val="left"/>
      </w:pPr>
      <w:r>
        <w:rPr>
          <w:u w:val="single"/>
        </w:rPr>
        <w:t xml:space="preserve">(7)</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060</w:t>
      </w:r>
      <w:r>
        <w:rPr/>
        <w:t xml:space="preserve"> and 2019 c 158 s 6 are each amended to read as follows:</w:t>
      </w:r>
    </w:p>
    <w:p>
      <w:pPr>
        <w:spacing w:before="0" w:after="0" w:line="408" w:lineRule="exact"/>
        <w:ind w:left="0" w:right="0" w:firstLine="576"/>
        <w:jc w:val="left"/>
      </w:pP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 </w:t>
      </w:r>
      <w:r>
        <w:rPr>
          <w:u w:val="single"/>
        </w:rPr>
        <w:t xml:space="preserve">The department may adopt rules pursuant to this chapter and chapter 34.05 RCW as necessary to register hemp processors.</w:t>
      </w:r>
    </w:p>
    <w:p>
      <w:pPr>
        <w:spacing w:before="0" w:after="0" w:line="408" w:lineRule="exact"/>
        <w:ind w:left="0" w:right="0" w:firstLine="576"/>
        <w:jc w:val="left"/>
      </w:pPr>
      <w:r>
        <w:rPr/>
        <w:t xml:space="preserve">(2) </w:t>
      </w:r>
      <w:r>
        <w:rPr>
          <w:u w:val="single"/>
        </w:rPr>
        <w:t xml:space="preserve">A hemp processor that processes hemp for commercial use or sale may register with the department. The registration application must include the physical address of all locations where hemp is processed or stored, a registration fee as set in rule, and any other information required by the department by rule. A registered hemp processor is not required to obtain a hemp producer license. A registered hemp processor must be a registered business entity in Washington state or a foreign entity compliant with state laws.</w:t>
      </w:r>
    </w:p>
    <w:p>
      <w:pPr>
        <w:spacing w:before="0" w:after="0" w:line="408" w:lineRule="exact"/>
        <w:ind w:left="0" w:right="0" w:firstLine="576"/>
        <w:jc w:val="left"/>
      </w:pPr>
      <w:r>
        <w:rPr>
          <w:u w:val="single"/>
        </w:rPr>
        <w:t xml:space="preserve">(3)</w:t>
      </w:r>
      <w:r>
        <w:rPr/>
        <w:t xml:space="preserve">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RCW 15.140.080.</w:t>
      </w:r>
    </w:p>
    <w:p/>
    <w:p>
      <w:pPr>
        <w:jc w:val="center"/>
      </w:pPr>
      <w:r>
        <w:rPr>
          <w:b/>
        </w:rPr>
        <w:t>--- END ---</w:t>
      </w:r>
    </w:p>
    <w:sectPr>
      <w:pgNumType w:start="1"/>
      <w:footerReference xmlns:r="http://schemas.openxmlformats.org/officeDocument/2006/relationships" r:id="Rf5ddbb6f1c5940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ae0f15ce74a59" /><Relationship Type="http://schemas.openxmlformats.org/officeDocument/2006/relationships/footer" Target="/word/footer1.xml" Id="Rf5ddbb6f1c5940f7" /></Relationships>
</file>