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3cfd2b73d4f2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Randall, Cleveland, Das, Dhingra, Frockt, Hunt, Kuderer, Liias, Lovelett, Nguyen, Nobles, Robinson, Saldaña, Stanford, Van De Wege,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 and</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w:t>
      </w:r>
    </w:p>
    <w:p>
      <w:pPr>
        <w:spacing w:before="0" w:after="0" w:line="408" w:lineRule="exact"/>
        <w:ind w:left="0" w:right="0" w:firstLine="576"/>
        <w:jc w:val="left"/>
      </w:pPr>
      <w:r>
        <w:rPr/>
        <w:t xml:space="preserve">(2) Therefore, the legislature intends that by 2026, all residents of the state have comprehensive, equitable, and affordable health care coverage under a publicly financed and privately and publicly delivered health care system.</w:t>
      </w:r>
    </w:p>
    <w:p>
      <w:pPr>
        <w:spacing w:before="0" w:after="0" w:line="408" w:lineRule="exact"/>
        <w:ind w:left="0" w:right="0" w:firstLine="576"/>
        <w:jc w:val="left"/>
      </w:pPr>
      <w:r>
        <w:rPr/>
        <w:t xml:space="preserve">(3) The resulting universal system should:</w:t>
      </w:r>
    </w:p>
    <w:p>
      <w:pPr>
        <w:spacing w:before="0" w:after="0" w:line="408" w:lineRule="exact"/>
        <w:ind w:left="0" w:right="0" w:firstLine="576"/>
        <w:jc w:val="left"/>
      </w:pPr>
      <w:r>
        <w:rPr/>
        <w:t xml:space="preserve">(a) Be built upon the success of existing publicly supported health insurance programs in the state;</w:t>
      </w:r>
    </w:p>
    <w:p>
      <w:pPr>
        <w:spacing w:before="0" w:after="0" w:line="408" w:lineRule="exact"/>
        <w:ind w:left="0" w:right="0" w:firstLine="576"/>
        <w:jc w:val="left"/>
      </w:pPr>
      <w:r>
        <w:rPr/>
        <w:t xml:space="preserve">(b) Streamline access to coverage, reduce fragmentation of health care financing across multiple public and private health insurance entities, reduce unnecessary administrative costs, and establish mechanisms to expeditiously link residents with their chosen providers; and</w:t>
      </w:r>
    </w:p>
    <w:p>
      <w:pPr>
        <w:spacing w:before="0" w:after="0" w:line="408" w:lineRule="exact"/>
        <w:ind w:left="0" w:right="0" w:firstLine="576"/>
        <w:jc w:val="left"/>
      </w:pPr>
      <w:r>
        <w:rPr/>
        <w:t xml:space="preserve">(c) Control health care spending so that the system is affordable to the state, employers, and to individuals over time.</w:t>
      </w:r>
    </w:p>
    <w:p>
      <w:pPr>
        <w:spacing w:before="0" w:after="0" w:line="408" w:lineRule="exact"/>
        <w:ind w:left="0" w:right="0" w:firstLine="576"/>
        <w:jc w:val="left"/>
      </w:pPr>
      <w:r>
        <w:rPr/>
        <w:t xml:space="preserve">(4)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UNIVERSAL HEALTH CARE COMMISSION.</w:t>
      </w:r>
      <w:r>
        <w:t xml:space="preserve">  </w:t>
      </w:r>
      <w:r>
        <w:rPr/>
        <w:t xml:space="preserve">(1) The universal health care commission is established to develop a plan to create a health care system in Washington that provides coverage and access through a universal financing system including, but not limited to, a single-payer financing system, for all Washingtonians.</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w:t>
      </w:r>
    </w:p>
    <w:p>
      <w:pPr>
        <w:spacing w:before="0" w:after="0" w:line="408" w:lineRule="exact"/>
        <w:ind w:left="0" w:right="0" w:firstLine="576"/>
        <w:jc w:val="left"/>
      </w:pPr>
      <w:r>
        <w:rPr/>
        <w:t xml:space="preserve">(h) An individual representing local health jurisdictions;</w:t>
      </w:r>
    </w:p>
    <w:p>
      <w:pPr>
        <w:spacing w:before="0" w:after="0" w:line="408" w:lineRule="exact"/>
        <w:ind w:left="0" w:right="0" w:firstLine="576"/>
        <w:jc w:val="left"/>
      </w:pPr>
      <w:r>
        <w:rPr/>
        <w:t xml:space="preserve">(i) The secretary of the department of social and health services, or the secretary's designee; and</w:t>
      </w:r>
    </w:p>
    <w:p>
      <w:pPr>
        <w:spacing w:before="0" w:after="0" w:line="408" w:lineRule="exact"/>
        <w:ind w:left="0" w:right="0" w:firstLine="576"/>
        <w:jc w:val="left"/>
      </w:pPr>
      <w:r>
        <w:rPr/>
        <w:t xml:space="preserve">(j) Eight members appointed by the governor with knowledge and experience regarding health care coverage, access, and financing, or other relevant expertise, including at least one invitation to an individual representing tribal governments with knowledge of the Indian health care delivery in the state.</w:t>
      </w:r>
    </w:p>
    <w:p>
      <w:pPr>
        <w:spacing w:before="0" w:after="0" w:line="408" w:lineRule="exact"/>
        <w:ind w:left="0" w:right="0" w:firstLine="576"/>
        <w:jc w:val="left"/>
      </w:pPr>
      <w:r>
        <w:rPr/>
        <w:t xml:space="preserve">(3) The director of the department of retirement systems, or the director's designee shall serve as a nonvoting member of the commission.</w:t>
      </w:r>
    </w:p>
    <w:p>
      <w:pPr>
        <w:spacing w:before="0" w:after="0" w:line="408" w:lineRule="exact"/>
        <w:ind w:left="0" w:right="0" w:firstLine="576"/>
        <w:jc w:val="left"/>
      </w:pPr>
      <w:r>
        <w:rPr/>
        <w:t xml:space="preserve">(4) A majority of the voting members of the commission shall constitute a quorum for any votes of the commission.</w:t>
      </w:r>
    </w:p>
    <w:p>
      <w:pPr>
        <w:spacing w:before="0" w:after="0" w:line="408" w:lineRule="exact"/>
        <w:ind w:left="0" w:right="0" w:firstLine="576"/>
        <w:jc w:val="left"/>
      </w:pPr>
      <w:r>
        <w:rPr/>
        <w:t xml:space="preserve">(5) The health care authority shall staff the commission.</w:t>
      </w:r>
    </w:p>
    <w:p>
      <w:pPr>
        <w:spacing w:before="0" w:after="0" w:line="408" w:lineRule="exact"/>
        <w:ind w:left="0" w:right="0" w:firstLine="576"/>
        <w:jc w:val="left"/>
      </w:pPr>
      <w:r>
        <w:rPr/>
        <w:t xml:space="preserve">(6)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(7)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(8) By November 1, 2024, the commission shall submit a final report to the legislature and the governor, and post it on the department of health's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high-quality, affordable health care;</w:t>
      </w:r>
    </w:p>
    <w:p>
      <w:pPr>
        <w:spacing w:before="0" w:after="0" w:line="408" w:lineRule="exact"/>
        <w:ind w:left="0" w:right="0" w:firstLine="576"/>
        <w:jc w:val="left"/>
      </w:pPr>
      <w:r>
        <w:rPr/>
        <w:t xml:space="preserve">(b) Recommendations for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and savings strategies;</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Home and community-based services;</w:t>
      </w:r>
    </w:p>
    <w:p>
      <w:pPr>
        <w:spacing w:before="0" w:after="0" w:line="408" w:lineRule="exact"/>
        <w:ind w:left="0" w:right="0" w:firstLine="576"/>
        <w:jc w:val="left"/>
      </w:pPr>
      <w:r>
        <w:rPr/>
        <w:t xml:space="preserve">(xii)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(xiii) Information technology systems and financial management systems;</w:t>
      </w:r>
    </w:p>
    <w:p>
      <w:pPr>
        <w:spacing w:before="0" w:after="0" w:line="408" w:lineRule="exact"/>
        <w:ind w:left="0" w:right="0" w:firstLine="576"/>
        <w:jc w:val="left"/>
      </w:pPr>
      <w:r>
        <w:rPr/>
        <w:t xml:space="preserve">(xiv) Data sharing and transparency; and</w:t>
      </w:r>
    </w:p>
    <w:p>
      <w:pPr>
        <w:spacing w:before="0" w:after="0" w:line="408" w:lineRule="exact"/>
        <w:ind w:left="0" w:right="0" w:firstLine="576"/>
        <w:jc w:val="left"/>
      </w:pPr>
      <w:r>
        <w:rPr/>
        <w:t xml:space="preserve">(xv) Governance and administration structure, including integration of federal funding sources;</w:t>
      </w:r>
    </w:p>
    <w:p>
      <w:pPr>
        <w:spacing w:before="0" w:after="0" w:line="408" w:lineRule="exact"/>
        <w:ind w:left="0" w:right="0" w:firstLine="576"/>
        <w:jc w:val="left"/>
      </w:pPr>
      <w:r>
        <w:rPr/>
        <w:t xml:space="preserve">(c) Steps Washington should take to prepare for a just transition to a unified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(d) Recommendations for coverage expansions to be implemented prior to and consistent with a universal health care system, including potential funding sources. Recommendations shall include expansion for full scope medicaid coverage, regardless of immigration status;</w:t>
      </w:r>
    </w:p>
    <w:p>
      <w:pPr>
        <w:spacing w:before="0" w:after="0" w:line="408" w:lineRule="exact"/>
        <w:ind w:left="0" w:right="0" w:firstLine="576"/>
        <w:jc w:val="left"/>
      </w:pPr>
      <w:r>
        <w:rPr/>
        <w:t xml:space="preserve">(e)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(9) The commission must submit an interim report to the governor and the legislature 12 months after its first meeting and every six months thereafter detailing the work of the commission.</w:t>
      </w:r>
    </w:p>
    <w:p>
      <w:pPr>
        <w:spacing w:before="0" w:after="0" w:line="408" w:lineRule="exact"/>
        <w:ind w:left="0" w:right="0" w:firstLine="576"/>
        <w:jc w:val="left"/>
      </w:pPr>
      <w:r>
        <w:rPr/>
        <w:t xml:space="preserve">(10) This section shall not be construed to authorize the commission to implement any provision of the reports until there is further action by the legislature and the governor.</w:t>
      </w:r>
    </w:p>
    <w:p>
      <w:pPr>
        <w:spacing w:before="0" w:after="0" w:line="408" w:lineRule="exact"/>
        <w:ind w:left="0" w:right="0" w:firstLine="576"/>
        <w:jc w:val="left"/>
      </w:pPr>
      <w:r>
        <w:rPr/>
        <w:t xml:space="preserve">(11) The commission must hold its first meeting within 90 days of the effective date of this section.</w:t>
      </w:r>
    </w:p>
    <w:p>
      <w:pPr>
        <w:spacing w:before="0" w:after="0" w:line="408" w:lineRule="exact"/>
        <w:ind w:left="0" w:right="0" w:firstLine="576"/>
        <w:jc w:val="left"/>
      </w:pPr>
      <w:r>
        <w:rPr/>
        <w:t xml:space="preserve">(12) The commission terminates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45c958ac07e745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2c8f375d14991" /><Relationship Type="http://schemas.openxmlformats.org/officeDocument/2006/relationships/footer" Target="/word/footer1.xml" Id="R45c958ac07e74504" /></Relationships>
</file>