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8d04a0fba44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Nguyen, Conway, Das, Dhingra, Keiser, Liias, Nobles, and Randall; by request of Office of the Governor)</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in state government; adding new sections to chapter 43.105 RCW; adding a new section to chapter 39.26 RCW; adding a new section to chapter 39.34 RCW; adding new sections to chapter 42.56 RCW; creating new sections; repealing RCW 43.105.215;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cybersecurity is created within the office of the chief information officer.</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on a quarterly basis. The report to the governor under this subsection is confidential and exempt from public inspection and copying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July 1, 2022, the office of cybersecurity, in collaboration with state agencies, shall develop a catalog of cybersecurity services and functions for the office of cybersecurity to perform and submit a report to the legislature and governor. The report must include, but not be limited to:</w:t>
      </w:r>
    </w:p>
    <w:p>
      <w:pPr>
        <w:spacing w:before="0" w:after="0" w:line="408" w:lineRule="exact"/>
        <w:ind w:left="0" w:right="0" w:firstLine="576"/>
        <w:jc w:val="left"/>
      </w:pPr>
      <w:r>
        <w:rPr/>
        <w:t xml:space="preserve">(a) Cybersecurity services and functions to include in the office of cybersecurity's catalog of services that should be performed by the office of cybersecurity;</w:t>
      </w:r>
    </w:p>
    <w:p>
      <w:pPr>
        <w:spacing w:before="0" w:after="0" w:line="408" w:lineRule="exact"/>
        <w:ind w:left="0" w:right="0" w:firstLine="576"/>
        <w:jc w:val="left"/>
      </w:pPr>
      <w:r>
        <w:rPr/>
        <w:t xml:space="preserve">(b) Core capabilities and competencies of the office of cybersecurity;</w:t>
      </w:r>
    </w:p>
    <w:p>
      <w:pPr>
        <w:spacing w:before="0" w:after="0" w:line="408" w:lineRule="exact"/>
        <w:ind w:left="0" w:right="0" w:firstLine="576"/>
        <w:jc w:val="left"/>
      </w:pPr>
      <w:r>
        <w:rPr/>
        <w:t xml:space="preserve">(c) Security functions which should remain within agency information technology security programs;</w:t>
      </w:r>
    </w:p>
    <w:p>
      <w:pPr>
        <w:spacing w:before="0" w:after="0" w:line="408" w:lineRule="exact"/>
        <w:ind w:left="0" w:right="0" w:firstLine="576"/>
        <w:jc w:val="left"/>
      </w:pPr>
      <w:r>
        <w:rPr/>
        <w:t xml:space="preserve">(d) A recommended model for accountability of agency security programs to the office of cybersecurity; and</w:t>
      </w:r>
    </w:p>
    <w:p>
      <w:pPr>
        <w:spacing w:before="0" w:after="0" w:line="408" w:lineRule="exact"/>
        <w:ind w:left="0" w:right="0" w:firstLine="576"/>
        <w:jc w:val="left"/>
      </w:pPr>
      <w:r>
        <w:rPr/>
        <w:t xml:space="preserve">(e) The cybersecurity services and functions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(2) The office of cybersecurity shall update and publish its catalog of services and performance metrics on a biennial basis. The office of cybersecurity shall use data and information provided from agency security programs to inform the updates to its catalog of services and performance metrics.</w:t>
      </w:r>
    </w:p>
    <w:p>
      <w:pPr>
        <w:spacing w:before="0" w:after="0" w:line="408" w:lineRule="exact"/>
        <w:ind w:left="0" w:right="0" w:firstLine="576"/>
        <w:jc w:val="left"/>
      </w:pPr>
      <w:r>
        <w:rPr/>
        <w:t xml:space="preserve">(3) To ensure alignment with enterprise information technology security strategy, the office of cybersecurity shall develop a process for reviewing and evaluating agency proposals for additional cybersecurity services consistent with RCW 43.105.255.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the event of a major cybersecurity incident, state agencies must report that incident to the office of cybersecurity within 24 hours of discovery of the incident.</w:t>
      </w:r>
    </w:p>
    <w:p>
      <w:pPr>
        <w:spacing w:before="0" w:after="0" w:line="408" w:lineRule="exact"/>
        <w:ind w:left="0" w:right="0" w:firstLine="576"/>
        <w:jc w:val="left"/>
      </w:pPr>
      <w:r>
        <w:rPr/>
        <w:t xml:space="preserve">(2) State agencies must provide the office of cybersecurity with contact information for any external parties who have material information related to the cybersecurity incident.</w:t>
      </w:r>
    </w:p>
    <w:p>
      <w:pPr>
        <w:spacing w:before="0" w:after="0" w:line="408" w:lineRule="exact"/>
        <w:ind w:left="0" w:right="0" w:firstLine="576"/>
        <w:jc w:val="left"/>
      </w:pPr>
      <w:r>
        <w:rPr/>
        <w:t xml:space="preserve">(3) Once a cybersecurity incident is reported to the office of cybersecurity, the office of cybersecurity must investigate the incident to determine the degree of severity and facilitate any necessary incident response measures that need to be taken to protect the enterprise.</w:t>
      </w:r>
    </w:p>
    <w:p>
      <w:pPr>
        <w:spacing w:before="0" w:after="0" w:line="408" w:lineRule="exact"/>
        <w:ind w:left="0" w:right="0" w:firstLine="576"/>
        <w:jc w:val="left"/>
      </w:pPr>
      <w:r>
        <w:rPr/>
        <w:t xml:space="preserve">(4) The chief information security officer or the chief information security officer's designee shall serve as the state's point of contact for all major cybersecurity incidents.</w:t>
      </w:r>
    </w:p>
    <w:p>
      <w:pPr>
        <w:spacing w:before="0" w:after="0" w:line="408" w:lineRule="exact"/>
        <w:ind w:left="0" w:right="0" w:firstLine="576"/>
        <w:jc w:val="left"/>
      </w:pPr>
      <w:r>
        <w:rPr/>
        <w:t xml:space="preserve">(5) The office of cybersecurity must create policy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in collaboration with the office of privacy and data protection and the office of the attorney general, shall research and examine existing best practices for data governance, data protection, the sharing of data relating to cybersecurity, and the protection of state and local governments' information technology systems and infrastructure including, but not limited to, model terms for data sharing contracts and adherence to privacy principles.</w:t>
      </w:r>
    </w:p>
    <w:p>
      <w:pPr>
        <w:spacing w:before="0" w:after="0" w:line="408" w:lineRule="exact"/>
        <w:ind w:left="0" w:right="0" w:firstLine="576"/>
        <w:jc w:val="left"/>
      </w:pPr>
      <w:r>
        <w:rPr/>
        <w:t xml:space="preserve">(2) The office of cybersecurity must submit a report of its findings and identify specific recommendations to the governor and the appropriate committees of the legislature by December 1, 2021.</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Before an agency shares category 3 or higher data as defined in policy authorized under RCW 43.105.054, with a contractor, a written data sharing agreement must be in place. Such agreements shall conform to the policies for data sharing specified by the office of cybersecurity under the authority of RCW 43.105.054.</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 public agency is requesting from another public agency category 3 or higher data as defined in policy authorized under RCW 43.105.054, the requesting agency shall provide for a written agreement between the agencies that conforms to the policies of the office of cybersecurity.</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contract for an independent security evaluation audit of state agency information technology in the state of Washington. The independent third party must audit the security and protection of digital assets for the state of Washington to test and assess the overall security posture including, but not limited to, cybersecurity.</w:t>
      </w:r>
    </w:p>
    <w:p>
      <w:pPr>
        <w:spacing w:before="0" w:after="0" w:line="408" w:lineRule="exact"/>
        <w:ind w:left="0" w:right="0" w:firstLine="576"/>
        <w:jc w:val="left"/>
      </w:pPr>
      <w:r>
        <w:rPr/>
        <w:t xml:space="preserve">(2) The audit must, at a minimum:</w:t>
      </w:r>
    </w:p>
    <w:p>
      <w:pPr>
        <w:spacing w:before="0" w:after="0" w:line="408" w:lineRule="exact"/>
        <w:ind w:left="0" w:right="0" w:firstLine="576"/>
        <w:jc w:val="left"/>
      </w:pPr>
      <w:r>
        <w:rPr/>
        <w:t xml:space="preserve">(a) Define threats, and include recommendations to mitigate the threats to include real-time security assessments of applications, systems, and networks to identify and assess risks and determine if they could be exploited by bad actors;</w:t>
      </w:r>
    </w:p>
    <w:p>
      <w:pPr>
        <w:spacing w:before="0" w:after="0" w:line="408" w:lineRule="exact"/>
        <w:ind w:left="0" w:right="0" w:firstLine="576"/>
        <w:jc w:val="left"/>
      </w:pPr>
      <w:r>
        <w:rPr/>
        <w:t xml:space="preserve">(b) Review security protocols and identify flaws in both physical and digital systems, to include data transfers;</w:t>
      </w:r>
    </w:p>
    <w:p>
      <w:pPr>
        <w:spacing w:before="0" w:after="0" w:line="408" w:lineRule="exact"/>
        <w:ind w:left="0" w:right="0" w:firstLine="576"/>
        <w:jc w:val="left"/>
      </w:pPr>
      <w:r>
        <w:rPr/>
        <w:t xml:space="preserve">(c) Assess the current security performance of existing security structures, to include penetration testing;</w:t>
      </w:r>
    </w:p>
    <w:p>
      <w:pPr>
        <w:spacing w:before="0" w:after="0" w:line="408" w:lineRule="exact"/>
        <w:ind w:left="0" w:right="0" w:firstLine="576"/>
        <w:jc w:val="left"/>
      </w:pPr>
      <w:r>
        <w:rPr/>
        <w:t xml:space="preserve">(d) Prioritize and complete risk scoring of identified threats and risks; and</w:t>
      </w:r>
    </w:p>
    <w:p>
      <w:pPr>
        <w:spacing w:before="0" w:after="0" w:line="408" w:lineRule="exact"/>
        <w:ind w:left="0" w:right="0" w:firstLine="576"/>
        <w:jc w:val="left"/>
      </w:pPr>
      <w:r>
        <w:rPr/>
        <w:t xml:space="preserve">(e) Formulate security solutions with estimated costs, to include what can be achieved in the short term, or less than 12 months, and what can be achieved in the mid to long term.</w:t>
      </w:r>
    </w:p>
    <w:p>
      <w:pPr>
        <w:spacing w:before="0" w:after="0" w:line="408" w:lineRule="exact"/>
        <w:ind w:left="0" w:right="0" w:firstLine="576"/>
        <w:jc w:val="left"/>
      </w:pPr>
      <w:r>
        <w:rPr/>
        <w:t xml:space="preserve">(3) The independent audit team must include the chair and ranking member of the senate environment, energy, and technology committee and two members of the house of representatives in executive briefings throughout the audit, and the four members must be updated, at least monthly, on the progress of the audit.</w:t>
      </w:r>
    </w:p>
    <w:p>
      <w:pPr>
        <w:spacing w:before="0" w:after="0" w:line="408" w:lineRule="exact"/>
        <w:ind w:left="0" w:right="0" w:firstLine="576"/>
        <w:jc w:val="left"/>
      </w:pPr>
      <w:r>
        <w:rPr/>
        <w:t xml:space="preserve">(4) The security evaluation audit report must be submitted to the fiscal committees of the legislature by August 31, 2022.</w:t>
      </w:r>
    </w:p>
    <w:p>
      <w:pPr>
        <w:spacing w:before="0" w:after="0" w:line="408" w:lineRule="exact"/>
        <w:ind w:left="0" w:right="0" w:firstLine="576"/>
        <w:jc w:val="left"/>
      </w:pPr>
      <w:r>
        <w:rPr/>
        <w:t xml:space="preserve">(5) Reports shared and submitted by the independent audit team, the office of financial management, and the office of cybersecurity to the members identified in subsections (3) and (4) of this section are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shared and submitted by the independent audit team, the office of financial management, and the office of cybersecurity to the members identified in section 7 (3) and (4) of this act in accordance with the requirements in section 7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the office of cybersecurity to the governor's office in accordance with the requirements under section 1 (7)(c)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(Security standards and policies</w:t>
      </w:r>
      <w:r>
        <w:rPr>
          <w:rFonts w:ascii="Times New Roman" w:hAnsi="Times New Roman"/>
        </w:rPr>
        <w:t xml:space="preserve">—</w:t>
      </w:r>
      <w:r>
        <w:rPr/>
        <w:t xml:space="preserve">State agencies' information technology security programs) and 2015 3rd sp.s. c 1 s 202 &amp; 2013 2nd sp.s. c 33 s 8 are each repealed.</w:t>
      </w:r>
    </w:p>
    <w:p/>
    <w:p>
      <w:pPr>
        <w:jc w:val="center"/>
      </w:pPr>
      <w:r>
        <w:rPr>
          <w:b/>
        </w:rPr>
        <w:t>--- END ---</w:t>
      </w:r>
    </w:p>
    <w:sectPr>
      <w:pgNumType w:start="1"/>
      <w:footerReference xmlns:r="http://schemas.openxmlformats.org/officeDocument/2006/relationships" r:id="Rb37a2f4bc5234d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19c485f3b4b89" /><Relationship Type="http://schemas.openxmlformats.org/officeDocument/2006/relationships/footer" Target="/word/footer1.xml" Id="Rb37a2f4bc5234d0f" /></Relationships>
</file>