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ec1153e514f20" /></Relationships>
</file>

<file path=word/document.xml><?xml version="1.0" encoding="utf-8"?>
<w:document xmlns:w="http://schemas.openxmlformats.org/wordprocessingml/2006/main">
  <w:body>
    <w:p>
      <w:r>
        <w:t>S-0946.2</w:t>
      </w:r>
    </w:p>
    <w:p>
      <w:pPr>
        <w:jc w:val="center"/>
      </w:pPr>
      <w:r>
        <w:t>_______________________________________________</w:t>
      </w:r>
    </w:p>
    <w:p/>
    <w:p>
      <w:pPr>
        <w:jc w:val="center"/>
      </w:pPr>
      <w:r>
        <w:rPr>
          <w:b/>
        </w:rPr>
        <w:t>SENATE BILL 5463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portion of the valuation of residential property from property taxation; amending RCW 84.48.010 and 84.69.020; adding a new section to chapter 84.36 RCW; adding a new section to chapter 84.52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2022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$250,000 of valuation of each residential tax parcel consisting of fewer than three residences; and</w:t>
      </w:r>
    </w:p>
    <w:p>
      <w:pPr>
        <w:spacing w:before="0" w:after="0" w:line="408" w:lineRule="exact"/>
        <w:ind w:left="0" w:right="0" w:firstLine="576"/>
        <w:jc w:val="left"/>
      </w:pPr>
      <w:r>
        <w:rPr/>
        <w:t xml:space="preserve">(ii) The first $250,000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2023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(S-0947/21)), the state levy must be reduced as necessary to prevent the value exempted under the homestead exemption in section 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 if the proposed amendment to Article VII of the state Constitution (Senate Joint Resolution No. . . . (S-0947/21)), providing for a homestead exemption,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0d64230db2c1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b43cb78114cf1" /><Relationship Type="http://schemas.openxmlformats.org/officeDocument/2006/relationships/footer" Target="/word/footer1.xml" Id="R0d64230db2c14874" /></Relationships>
</file>