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e077d342a54cc9" /></Relationships>
</file>

<file path=word/document.xml><?xml version="1.0" encoding="utf-8"?>
<w:document xmlns:w="http://schemas.openxmlformats.org/wordprocessingml/2006/main">
  <w:body>
    <w:p>
      <w:r>
        <w:t>S-3241.1</w:t>
      </w:r>
    </w:p>
    <w:p>
      <w:pPr>
        <w:jc w:val="center"/>
      </w:pPr>
      <w:r>
        <w:t>_______________________________________________</w:t>
      </w:r>
    </w:p>
    <w:p/>
    <w:p>
      <w:pPr>
        <w:jc w:val="center"/>
      </w:pPr>
      <w:r>
        <w:rPr>
          <w:b/>
        </w:rPr>
        <w:t>SENATE BILL 5513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Hawkins, Kuderer, Pedersen, Warnick, and Wellman</w:t>
      </w:r>
    </w:p>
    <w:p/>
    <w:p>
      <w:r>
        <w:rPr>
          <w:t xml:space="preserve">Prefiled 12/07/21.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flexibility of existing lodging taxes for affordable workforce housing; and amending RCW 67.28.181 and 67.28.1815.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67.40,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four hundred thousand or more and is located in a county with a population of one million or more, the rate of tax imposed under this chapter by the city shall not exceed the lesser of four percent or a rate that, when combined with all other taxes imposed upon sales of lodging in the municipality under this chapter and chapters 36.100, 67.40, 82.08, and 82.14 RCW, equals fifteen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 under RCW 82.14.530 is not included.</w:t>
      </w:r>
    </w:p>
    <w:p>
      <w:pPr>
        <w:spacing w:before="0" w:after="0" w:line="408" w:lineRule="exact"/>
        <w:ind w:left="0" w:right="0" w:firstLine="576"/>
        <w:jc w:val="left"/>
      </w:pPr>
      <w:r>
        <w:rPr>
          <w:u w:val="single"/>
        </w:rPr>
        <w:t xml:space="preserve">(5) Until January 1, 2032, up to 33 percent of any levy authorized by this section in a county east of the crest of the Cascade mountains that has a population of at least 75,000 and no more than 90,000 may be used for contracts, loans, or grants to nonprofit organizations or public housing authorities for affordable workforce housing. As used in this subsection, "affordable workforce housing" means housing for a single person, family, or unrelated persons living together whose income is at least 60 percent and no more than 120 percent of the median income, adjusted for housing size, for the county where the housing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1815</w:t>
      </w:r>
      <w:r>
        <w:rPr/>
        <w:t xml:space="preserve"> and 2008 c 264 s 3 are each amended to read as follows:</w:t>
      </w:r>
    </w:p>
    <w:p>
      <w:pPr>
        <w:spacing w:before="0" w:after="0" w:line="408" w:lineRule="exact"/>
        <w:ind w:left="0" w:right="0" w:firstLine="576"/>
        <w:jc w:val="left"/>
      </w:pPr>
      <w:r>
        <w:rPr/>
        <w:t xml:space="preserve">Except as provided in RCW 67.28.180 </w:t>
      </w:r>
      <w:r>
        <w:rPr>
          <w:u w:val="single"/>
        </w:rPr>
        <w:t xml:space="preserve">and 67.28.181(5)</w:t>
      </w:r>
      <w:r>
        <w:rPr/>
        <w:t xml:space="preserve">, all revenue from taxes imposed under this chapter shall be credited to a special fund in the treasury of the municipality imposing such tax and used solely for the purpose of paying all or any part of the cost of tourism promotion, acquisition of tourism-related facilities, or operation of tourism-related facilities. Municipalities may, under chapter 39.34 RCW, agree to the utilization of revenue from taxes imposed under this chapter for the purposes of funding a multijurisdictional tourism-related facility.</w:t>
      </w:r>
    </w:p>
    <w:p/>
    <w:p>
      <w:pPr>
        <w:jc w:val="center"/>
      </w:pPr>
      <w:r>
        <w:rPr>
          <w:b/>
        </w:rPr>
        <w:t>--- END ---</w:t>
      </w:r>
    </w:p>
    <w:sectPr>
      <w:pgNumType w:start="1"/>
      <w:footerReference xmlns:r="http://schemas.openxmlformats.org/officeDocument/2006/relationships" r:id="Rc0ae1c4bc1ba45f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34facec41491d" /><Relationship Type="http://schemas.openxmlformats.org/officeDocument/2006/relationships/footer" Target="/word/footer1.xml" Id="Rc0ae1c4bc1ba45f6" /></Relationships>
</file>