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ed696772454264" /></Relationships>
</file>

<file path=word/document.xml><?xml version="1.0" encoding="utf-8"?>
<w:document xmlns:w="http://schemas.openxmlformats.org/wordprocessingml/2006/main">
  <w:body>
    <w:p>
      <w:r>
        <w:t>S-3714.5</w:t>
      </w:r>
    </w:p>
    <w:p>
      <w:pPr>
        <w:jc w:val="center"/>
      </w:pPr>
      <w:r>
        <w:t>_______________________________________________</w:t>
      </w:r>
    </w:p>
    <w:p/>
    <w:p>
      <w:pPr>
        <w:jc w:val="center"/>
      </w:pPr>
      <w:r>
        <w:rPr>
          <w:b/>
        </w:rPr>
        <w:t>SUBSTITUTE SENATE BILL 5531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Pedersen, L. Wilson, and Mullet; by request of Uniform Law Commission)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creating a new section;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means a record described in RCW 19.240.010, and includes both gift cards and gift certificates, including both tangible instruments and electronic records.</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certificate complying with chapter 19.240 RCW;</w:t>
      </w:r>
    </w:p>
    <w:p>
      <w:pPr>
        <w:spacing w:before="0" w:after="0" w:line="408" w:lineRule="exact"/>
        <w:ind w:left="0" w:right="0" w:firstLine="576"/>
        <w:jc w:val="left"/>
      </w:pPr>
      <w:r>
        <w:rPr/>
        <w:t xml:space="preserve">(v) Store credit for returned merchandise; and</w:t>
      </w:r>
    </w:p>
    <w:p>
      <w:pPr>
        <w:spacing w:before="0" w:after="0" w:line="408" w:lineRule="exact"/>
        <w:ind w:left="0" w:right="0" w:firstLine="576"/>
        <w:jc w:val="left"/>
      </w:pPr>
      <w:r>
        <w:rPr/>
        <w:t xml:space="preserve">(vi)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certificate,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certificate.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 except if evidenced by a physical or electronic gift certificate;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Payroll card, one year after the amount becomes payable; and</w:t>
      </w:r>
    </w:p>
    <w:p>
      <w:pPr>
        <w:spacing w:before="0" w:after="0" w:line="408" w:lineRule="exact"/>
        <w:ind w:left="0" w:right="0" w:firstLine="576"/>
        <w:jc w:val="left"/>
      </w:pPr>
      <w:r>
        <w:rPr/>
        <w:t xml:space="preserve">(14)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30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70.5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90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0" w:after="0" w:line="408" w:lineRule="exact"/>
        <w:ind w:left="0" w:right="0" w:firstLine="576"/>
        <w:jc w:val="left"/>
      </w:pPr>
      <w:r>
        <w:rPr/>
        <w:t xml:space="preserve">(5) This section does not apply to property held in a pension account or retirement account established by the state of Washington or any local governmental entity under chapter 41.28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30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 or</w:t>
      </w:r>
    </w:p>
    <w:p>
      <w:pPr>
        <w:spacing w:before="0" w:after="0" w:line="408" w:lineRule="exact"/>
        <w:ind w:left="0" w:right="0" w:firstLine="576"/>
        <w:jc w:val="left"/>
      </w:pPr>
      <w:r>
        <w:rPr/>
        <w:t xml:space="preserve">(d)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(2) The following rules apply under this section:</w:t>
      </w:r>
    </w:p>
    <w:p>
      <w:pPr>
        <w:spacing w:before="0" w:after="0" w:line="408" w:lineRule="exact"/>
        <w:ind w:left="0" w:right="0" w:firstLine="576"/>
        <w:jc w:val="left"/>
      </w:pPr>
      <w:r>
        <w:rPr/>
        <w:t xml:space="preserve">(a) A death master file match under subsection (1)(c)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pPr>
        <w:spacing w:before="0" w:after="0" w:line="408" w:lineRule="exact"/>
        <w:ind w:left="0" w:right="0" w:firstLine="576"/>
        <w:jc w:val="left"/>
      </w:pPr>
      <w:r>
        <w:rPr/>
        <w:t xml:space="preserve">(3)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$50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12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must retain records for six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180 days nor less than 60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$75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30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$75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12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12-month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12-month period;</w:t>
      </w:r>
    </w:p>
    <w:p>
      <w:pPr>
        <w:spacing w:before="0" w:after="0" w:line="408" w:lineRule="exact"/>
        <w:ind w:left="0" w:right="0" w:firstLine="576"/>
        <w:jc w:val="left"/>
      </w:pPr>
      <w:r>
        <w:rPr/>
        <w:t xml:space="preserve">(iii) The internet web address of the unclaimed property website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180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90 days after a claim is filed under subsection (1) or (4) of this section, the administrator shall allow or deny the claim and give the claimant notice of the decision in a record. If the administrator does not take action on a claim during the 90-day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rate the property earned while in possession of the holder. Interest begins to accrue when the property is delivered to the administrator and ends on the earlier of the expiration of 10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six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10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the administrator may sell the property (a) not earlier than two years after receipt of property stored in a safe deposit box and presumed abandoned; and (b) not earlier than three years after receipt of all other property presumed abandoned.</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after taking custody,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$750,000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department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90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90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90-day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30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30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30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60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10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may waive, in whole and in part, interest under section 1013 of this act and penalties under section 1013 (5) and (9) of this act.</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30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20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90-day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20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1013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30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30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website or in the database required by section 503(3)(b) of this act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six-year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52344eea53ba47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9badb46a724cf5" /><Relationship Type="http://schemas.openxmlformats.org/officeDocument/2006/relationships/footer" Target="/word/footer1.xml" Id="R52344eea53ba47b8" /></Relationships>
</file>