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4ed4b80ad48cb" /></Relationships>
</file>

<file path=word/document.xml><?xml version="1.0" encoding="utf-8"?>
<w:document xmlns:w="http://schemas.openxmlformats.org/wordprocessingml/2006/main">
  <w:body>
    <w:p>
      <w:r>
        <w:t>S-3272.1</w:t>
      </w:r>
    </w:p>
    <w:p>
      <w:pPr>
        <w:jc w:val="center"/>
      </w:pPr>
      <w:r>
        <w:t>_______________________________________________</w:t>
      </w:r>
    </w:p>
    <w:p/>
    <w:p>
      <w:pPr>
        <w:jc w:val="center"/>
      </w:pPr>
      <w:r>
        <w:rPr>
          <w:b/>
        </w:rPr>
        <w:t>SENATE BILL 5563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Hasegawa, Cleveland, Conway, Dhingra, Kuderer, Nguyen, Nobles, Pedersen, Randall, Stanford, and C. Wilson</w:t>
      </w:r>
    </w:p>
    <w:p/>
    <w:p>
      <w:r>
        <w:rPr>
          <w:t xml:space="preserve">Prefiled 12/20/21.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continues to impact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 proportional enrollment stabilization amount to the local education agency in the 2021-22 school year.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(d) "Proportional enrollment stabilization amount" for a local education agency is equal to the statewide net enrollment impact multiplied by its local education agency low enrollment impact divided by the statewide low enrollment impact.</w:t>
      </w:r>
    </w:p>
    <w:p>
      <w:pPr>
        <w:spacing w:before="0" w:after="0" w:line="408" w:lineRule="exact"/>
        <w:ind w:left="0" w:right="0" w:firstLine="576"/>
        <w:jc w:val="left"/>
      </w:pPr>
      <w:r>
        <w:rPr/>
        <w:t xml:space="preserve">(e) "Statewide low enrollment impact" is the sum of local education agency low enrollment impacts for all local education agencies.</w:t>
      </w:r>
    </w:p>
    <w:p>
      <w:pPr>
        <w:spacing w:before="0" w:after="0" w:line="408" w:lineRule="exact"/>
        <w:ind w:left="0" w:right="0" w:firstLine="576"/>
        <w:jc w:val="left"/>
      </w:pPr>
      <w:r>
        <w:rPr/>
        <w:t xml:space="preserve">(f) "Statewide net enrollment impact" is equal to the combined state revenue that would be generated statewide using 2019-20 annual average enrollment values and formulas in place for the 2021-22 school year minus the combined state revenue generated statewide in the 2021-22 school year.</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(iii) In the 2024 calendar year, if 2019-20 school year average annual full-time equivalent enrollment is greater than the school district's 2022-23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d81b66a92f40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9ce16bd854a15" /><Relationship Type="http://schemas.openxmlformats.org/officeDocument/2006/relationships/footer" Target="/word/footer1.xml" Id="Re4d81b66a92f40b5" /></Relationships>
</file>