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5cc4f3053d4635" /></Relationships>
</file>

<file path=word/document.xml><?xml version="1.0" encoding="utf-8"?>
<w:document xmlns:w="http://schemas.openxmlformats.org/wordprocessingml/2006/main">
  <w:body>
    <w:p>
      <w:r>
        <w:t>S-4007.1</w:t>
      </w:r>
    </w:p>
    <w:p>
      <w:pPr>
        <w:jc w:val="center"/>
      </w:pPr>
      <w:r>
        <w:t>_______________________________________________</w:t>
      </w:r>
    </w:p>
    <w:p/>
    <w:p>
      <w:pPr>
        <w:jc w:val="center"/>
      </w:pPr>
      <w:r>
        <w:rPr>
          <w:b/>
        </w:rPr>
        <w:t>SUBSTITUTE SENATE BILL 5584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Trudeau, Nobles, Das, Dhingra, Frockt, Kuderer, Liias, Lovelett, Nguyen, Pedersen, Randall, Stanford,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29A.52.220, 36.32.040, 36.32.050, 35A.12.040, and 29A.04.410; reenacting and amending RCW 29A.36.170; adding a new section to chapter 29A.52 RCW; adding a new section to chapter 29A.04 RCW; adding a new section to chapter 52.14 RCW; adding a new section to chapter 53.12 RCW; creating new sections;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as provided in RCW 29A.60.221.</w:t>
      </w:r>
    </w:p>
    <w:p>
      <w:pPr>
        <w:spacing w:before="0" w:after="0" w:line="408" w:lineRule="exact"/>
        <w:ind w:left="0" w:right="0" w:firstLine="576"/>
        <w:jc w:val="left"/>
      </w:pPr>
      <w:r>
        <w:rPr/>
        <w:t xml:space="preserve">(5) A county, city, town, or district that adopts ranked choice voting before 2023 shall implement ranked choice voting for elections beginning in 2025. A county, city, town, or district that adopts ranked choice voting during or after 2023 must implement ranked choice voting within two years following its adoption.</w:t>
      </w:r>
    </w:p>
    <w:p>
      <w:pPr>
        <w:spacing w:before="0" w:after="0" w:line="408" w:lineRule="exact"/>
        <w:ind w:left="0" w:right="0" w:firstLine="576"/>
        <w:jc w:val="left"/>
      </w:pPr>
      <w:r>
        <w:rPr/>
        <w:t xml:space="preserve">(6) The county auditor whose county encompasses a county, city, town, or district that adopts ranked choice voting is responsible for the implementation of the system. If a city, town, or district has voters in two or more counties, each county auditor in which the city, town, or district has voters is responsible for its implementation.</w:t>
      </w:r>
    </w:p>
    <w:p>
      <w:pPr>
        <w:spacing w:before="0" w:after="0" w:line="408" w:lineRule="exact"/>
        <w:ind w:left="0" w:right="0" w:firstLine="576"/>
        <w:jc w:val="left"/>
      </w:pPr>
      <w:r>
        <w:rPr/>
        <w:t xml:space="preserve">(7) The secretary of state, before July 1, 2024, and in consultation with the ranked choice voting work group created in section 12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(8)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(9) As used in this section, "ranked choice voting" means a system of counting votes in which votes are tabulated based on a voter's ranking of candidates in order of preference using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If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If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For a tie occurring at any point during an election conducted using ranked choice voting as provided in section 1 of this act, the official empowered by state law to issue the original certificate of election for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2020 c 337 s 1 are each amended to read as follows:</w:t>
      </w:r>
    </w:p>
    <w:p>
      <w:pPr>
        <w:spacing w:before="0" w:after="0" w:line="408" w:lineRule="exact"/>
        <w:ind w:left="0" w:right="0" w:firstLine="576"/>
        <w:jc w:val="left"/>
      </w:pPr>
      <w:r>
        <w:rPr>
          <w:u w:val="single"/>
        </w:rPr>
        <w:t xml:space="preserve">(1)</w:t>
      </w:r>
      <w:r>
        <w:rPr/>
        <w:t xml:space="preserve"> Every county, city, town, and district, and the state is liable for its proportionate share of the costs when such elections are held in conjunction with other elections held under RCW 29A.04.321 and 29A.04.330</w:t>
      </w:r>
      <w:r>
        <w:rPr>
          <w:u w:val="single"/>
        </w:rPr>
        <w:t xml:space="preserve">, except as provided in subsection (2) of this section</w:t>
      </w:r>
      <w:r>
        <w:rPr/>
        <w:t xml:space="preserve">.</w:t>
      </w:r>
    </w:p>
    <w:p>
      <w:pPr>
        <w:spacing w:before="0" w:after="0" w:line="408" w:lineRule="exact"/>
        <w:ind w:left="0" w:right="0" w:firstLine="576"/>
        <w:jc w:val="left"/>
      </w:pPr>
      <w:r>
        <w:rPr>
          <w:u w:val="single"/>
        </w:rPr>
        <w:t xml:space="preserve">(2) The costs of implementing a ranked choice voting election as provided in section 1 of this act borne by a county must be apportioned under this section to the jurisdiction using ranked choice voting. Implementation costs that may be apportioned under this subsection are the costs associated with:</w:t>
      </w:r>
    </w:p>
    <w:p>
      <w:pPr>
        <w:spacing w:before="0" w:after="0" w:line="408" w:lineRule="exact"/>
        <w:ind w:left="0" w:right="0" w:firstLine="576"/>
        <w:jc w:val="left"/>
      </w:pPr>
      <w:r>
        <w:rPr>
          <w:u w:val="single"/>
        </w:rPr>
        <w:t xml:space="preserve">(a) Obtaining, upgrading, or developing any tabulation system components necessary for ranked choice voting, including hardware and software;</w:t>
      </w:r>
    </w:p>
    <w:p>
      <w:pPr>
        <w:spacing w:before="0" w:after="0" w:line="408" w:lineRule="exact"/>
        <w:ind w:left="0" w:right="0" w:firstLine="576"/>
        <w:jc w:val="left"/>
      </w:pPr>
      <w:r>
        <w:rPr>
          <w:u w:val="single"/>
        </w:rPr>
        <w:t xml:space="preserve">(b) The use or maintenance of any tabulation system components necessary for ranked choice voting; and</w:t>
      </w:r>
    </w:p>
    <w:p>
      <w:pPr>
        <w:spacing w:before="0" w:after="0" w:line="408" w:lineRule="exact"/>
        <w:ind w:left="0" w:right="0" w:firstLine="576"/>
        <w:jc w:val="left"/>
      </w:pPr>
      <w:r>
        <w:rPr>
          <w:u w:val="single"/>
        </w:rPr>
        <w:t xml:space="preserve">(c) Voter education and outreach associated with ranked choice voting.</w:t>
      </w:r>
    </w:p>
    <w:p>
      <w:pPr>
        <w:spacing w:before="0" w:after="0" w:line="408" w:lineRule="exact"/>
        <w:ind w:left="0" w:right="0" w:firstLine="576"/>
        <w:jc w:val="left"/>
      </w:pPr>
      <w:r>
        <w:rPr>
          <w:u w:val="single"/>
        </w:rPr>
        <w:t xml:space="preserve">(3)</w:t>
      </w:r>
      <w:r>
        <w:rPr/>
        <w:t xml:space="preserve"> Whenever any county, city, town, or district, or the state holds any primary or election, general or special, on an isolated date, all costs of such elections must be borne by the county, city, town, or district concerned, or the state as appropriate.</w:t>
      </w:r>
    </w:p>
    <w:p>
      <w:pPr>
        <w:spacing w:before="0" w:after="0" w:line="408" w:lineRule="exact"/>
        <w:ind w:left="0" w:right="0" w:firstLine="576"/>
        <w:jc w:val="left"/>
      </w:pPr>
      <w:r>
        <w:rPr>
          <w:u w:val="single"/>
        </w:rPr>
        <w:t xml:space="preserve">(4)</w:t>
      </w:r>
      <w:r>
        <w:rPr/>
        <w:t xml:space="preserve"> The purpose of this section is to clearly establish that the county is not responsible for any costs involved in the holding of any city, town, district, state, or federal election.</w:t>
      </w:r>
    </w:p>
    <w:p>
      <w:pPr>
        <w:spacing w:before="0" w:after="0" w:line="408" w:lineRule="exact"/>
        <w:ind w:left="0" w:right="0" w:firstLine="576"/>
        <w:jc w:val="left"/>
      </w:pPr>
      <w:r>
        <w:rPr>
          <w:u w:val="single"/>
        </w:rPr>
        <w:t xml:space="preserve">(5)</w:t>
      </w:r>
      <w:r>
        <w:rPr/>
        <w:t xml:space="preserve"> 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of state may provide grants to county auditors and local governments to adopt ranked choice voting as provided in this act.</w:t>
      </w:r>
    </w:p>
    <w:p>
      <w:pPr>
        <w:spacing w:before="0" w:after="0" w:line="408" w:lineRule="exact"/>
        <w:ind w:left="0" w:right="0" w:firstLine="576"/>
        <w:jc w:val="left"/>
      </w:pPr>
      <w:r>
        <w:rPr/>
        <w:t xml:space="preserve">(2) Subject to the availability of amounts appropriated for this specific purpose, the secretary of state may provide grants to a political subdivision to make changes to its electoral system as a remedy in response to one or more notices submitted under chapter 29A.92 RCW.</w:t>
      </w:r>
    </w:p>
    <w:p/>
    <w:p>
      <w:pPr>
        <w:jc w:val="center"/>
      </w:pPr>
      <w:r>
        <w:rPr>
          <w:b/>
        </w:rPr>
        <w:t>--- END ---</w:t>
      </w:r>
    </w:p>
    <w:sectPr>
      <w:pgNumType w:start="1"/>
      <w:footerReference xmlns:r="http://schemas.openxmlformats.org/officeDocument/2006/relationships" r:id="R6cf74ae7acfd4f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15fc7fbe814e0b" /><Relationship Type="http://schemas.openxmlformats.org/officeDocument/2006/relationships/footer" Target="/word/footer1.xml" Id="R6cf74ae7acfd4fb6" /></Relationships>
</file>