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3a455c264f4095" /></Relationships>
</file>

<file path=word/document.xml><?xml version="1.0" encoding="utf-8"?>
<w:document xmlns:w="http://schemas.openxmlformats.org/wordprocessingml/2006/main">
  <w:body>
    <w:p>
      <w:r>
        <w:t>S-3313.2</w:t>
      </w:r>
    </w:p>
    <w:p>
      <w:pPr>
        <w:jc w:val="center"/>
      </w:pPr>
      <w:r>
        <w:t>_______________________________________________</w:t>
      </w:r>
    </w:p>
    <w:p/>
    <w:p>
      <w:pPr>
        <w:jc w:val="center"/>
      </w:pPr>
      <w:r>
        <w:rPr>
          <w:b/>
        </w:rPr>
        <w:t>SENATE BILL 5610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Cleveland, Conway, Dhingra, Hasegawa, Honeyford, Keiser, Kuderer, Liias, Lovelett, Lovick, Randall, Robinson, Saldaña, Salomon, Stanford, Van De Wege, and C. Wilson</w:t>
      </w:r>
    </w:p>
    <w:p/>
    <w:p>
      <w:r>
        <w:rPr>
          <w:t xml:space="preserve">Prefiled 12/29/21.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cost sharing for prescription drugs to be counted against an enrollee's out-of-pocket costs, deductible, cost sharing, out-of-pocket maximum, or similar enrollee obligation, regardless of the source of the payment; amending RCW 41.05.017;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When calculating an enrollee's contribution to any applicable cost-sharing requirement, a health carrier offering a health plan with a pharmacy benefit, or a health care benefit manager administering benefits for the health carrier, shall include any cost-sharing amounts paid by the enrollee directly or on behalf of the enrollee by another person for a covered prescription drug. Any cost sharing or reductions made for an enrollee's benefit or towards an enrollee's applicable cost-sharing requirement shall be applied in full at the time it is rendered and wholly towards the enrollee's out-of-pocket costs, deductible, cost sharing, out-of-pocket maximum, or similar enrollee obligation.</w:t>
      </w:r>
    </w:p>
    <w:p>
      <w:pPr>
        <w:spacing w:before="0" w:after="0" w:line="408" w:lineRule="exact"/>
        <w:ind w:left="0" w:right="0" w:firstLine="576"/>
        <w:jc w:val="left"/>
      </w:pPr>
      <w:r>
        <w:rPr/>
        <w:t xml:space="preserve">(2) The commissioner may adopt any rules necessary to implement this section.</w:t>
      </w:r>
    </w:p>
    <w:p>
      <w:pPr>
        <w:spacing w:before="0" w:after="0" w:line="408" w:lineRule="exact"/>
        <w:ind w:left="0" w:right="0" w:firstLine="576"/>
        <w:jc w:val="left"/>
      </w:pPr>
      <w:r>
        <w:rPr/>
        <w:t xml:space="preserve">(3) This section applies to health plans issued or renewed on or after January 1, 2023.</w:t>
      </w:r>
    </w:p>
    <w:p>
      <w:pPr>
        <w:spacing w:before="0" w:after="0" w:line="408" w:lineRule="exact"/>
        <w:ind w:left="0" w:right="0" w:firstLine="576"/>
        <w:jc w:val="left"/>
      </w:pPr>
      <w:r>
        <w:rPr/>
        <w:t xml:space="preserve">(4) This section does not apply to a qualifying health plan for a health savings account to the extent necessary to preserve the enrollee's ability to claim tax exempt contributions and withdrawals from the enrollee's health savings account under internal revenue service laws, regulations, and guidance.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"Health care benefit manager" has the same meaning as in RCW 48.200.020.</w:t>
      </w:r>
    </w:p>
    <w:p>
      <w:pPr>
        <w:spacing w:before="0" w:after="0" w:line="408" w:lineRule="exact"/>
        <w:ind w:left="0" w:right="0" w:firstLine="576"/>
        <w:jc w:val="left"/>
      </w:pPr>
      <w:r>
        <w:rPr/>
        <w:t xml:space="preserve">(b) "Person" has the same meaning as in RCW 48.01.070.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
      <w:pPr>
        <w:jc w:val="center"/>
      </w:pPr>
      <w:r>
        <w:rPr>
          <w:b/>
        </w:rPr>
        <w:t>--- END ---</w:t>
      </w:r>
    </w:p>
    <w:sectPr>
      <w:pgNumType w:start="1"/>
      <w:footerReference xmlns:r="http://schemas.openxmlformats.org/officeDocument/2006/relationships" r:id="R99f1748915c047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6616ccfe24cc3" /><Relationship Type="http://schemas.openxmlformats.org/officeDocument/2006/relationships/footer" Target="/word/footer1.xml" Id="R99f1748915c04745" /></Relationships>
</file>