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4c94793a8460d" /></Relationships>
</file>

<file path=word/document.xml><?xml version="1.0" encoding="utf-8"?>
<w:document xmlns:w="http://schemas.openxmlformats.org/wordprocessingml/2006/main">
  <w:body>
    <w:p>
      <w:r>
        <w:t>S-3925.2</w:t>
      </w:r>
    </w:p>
    <w:p>
      <w:pPr>
        <w:jc w:val="center"/>
      </w:pPr>
      <w:r>
        <w:t>_______________________________________________</w:t>
      </w:r>
    </w:p>
    <w:p/>
    <w:p>
      <w:pPr>
        <w:jc w:val="center"/>
      </w:pPr>
      <w:r>
        <w:rPr>
          <w:b/>
        </w:rPr>
        <w:t>SUBSTITUTE SENATE BILL 5652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Conway, Rivers, Lovick, Mullet, Muzzall, Nobles, Short, Van De Wege, Wagoner, and C. Wilson; by request of LEOFF Plan 2 Retirement Board)</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employer and state normal cost shall equal the total contribution rate required to fund 90 percent of the plan 2 employer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w:t>
      </w:r>
      <w:r>
        <w:t>((</w:t>
      </w:r>
      <w:r>
        <w:rPr>
          <w:strike/>
        </w:rPr>
        <w:t xml:space="preserve">Any</w:t>
      </w:r>
      <w:r>
        <w:t>))</w:t>
      </w:r>
      <w:r>
        <w:rPr/>
        <w:t xml:space="preserve"> </w:t>
      </w:r>
      <w:r>
        <w:rPr>
          <w:u w:val="single"/>
        </w:rPr>
        <w:t xml:space="preserve">The minimum contribution rates in this section, including</w:t>
      </w:r>
      <w:r>
        <w:rPr/>
        <w:t xml:space="preserve"> changes adopted by the council</w:t>
      </w:r>
      <w:r>
        <w:rPr>
          <w:u w:val="single"/>
        </w:rPr>
        <w:t xml:space="preserve">,</w:t>
      </w:r>
      <w:r>
        <w:rPr/>
        <w:t xml:space="preserve">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member normal cost shall equal the total contribution rate required to fund 90 percent of the plan 2 member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2020.</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July 31,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August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office of the state actuary must calculate a rate reduction to be applied to rates calculated in sections 4(5) (a) and (b) and 5(4) (a) and (b) of this act. This rate must be calculated in time for it to go into effect on July 1, 2025, using any data, assumptions, and methods the office of the state actuary believes are reasonable for this purpose.</w:t>
      </w:r>
    </w:p>
    <w:p/>
    <w:p>
      <w:pPr>
        <w:jc w:val="center"/>
      </w:pPr>
      <w:r>
        <w:rPr>
          <w:b/>
        </w:rPr>
        <w:t>--- END ---</w:t>
      </w:r>
    </w:p>
    <w:sectPr>
      <w:pgNumType w:start="1"/>
      <w:footerReference xmlns:r="http://schemas.openxmlformats.org/officeDocument/2006/relationships" r:id="R023a7ebc2305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d51709a5e4179" /><Relationship Type="http://schemas.openxmlformats.org/officeDocument/2006/relationships/footer" Target="/word/footer1.xml" Id="R023a7ebc230545b6" /></Relationships>
</file>