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3a65290cda4c7e" /></Relationships>
</file>

<file path=word/document.xml><?xml version="1.0" encoding="utf-8"?>
<w:document xmlns:w="http://schemas.openxmlformats.org/wordprocessingml/2006/main">
  <w:body>
    <w:p>
      <w:r>
        <w:t>S-4418.1</w:t>
      </w:r>
    </w:p>
    <w:p>
      <w:pPr>
        <w:jc w:val="center"/>
      </w:pPr>
      <w:r>
        <w:t>_______________________________________________</w:t>
      </w:r>
    </w:p>
    <w:p/>
    <w:p>
      <w:pPr>
        <w:jc w:val="center"/>
      </w:pPr>
      <w:r>
        <w:rPr>
          <w:b/>
        </w:rPr>
        <w:t>SECOND SUBSTITUTE SENATE BILL 5664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Dhingra, Keiser,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forensic competency restoration programs; amending RCW 10.77.060, 10.77.068, 10.77.086, 10.77.088, 10.77.220, and 10.77.250; reenacting and amending RCW 10.77.010; and adding new sections to chapter 10.77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extend an offer of admission to a defendant in pretrial custody for inpatient competency evaluation or inpatient competency restoration services;</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 and</w:t>
      </w:r>
    </w:p>
    <w:p>
      <w:pPr>
        <w:spacing w:before="0" w:after="0" w:line="408" w:lineRule="exact"/>
        <w:ind w:left="0" w:right="0" w:firstLine="576"/>
        <w:jc w:val="left"/>
      </w:pPr>
      <w:r>
        <w:rPr>
          <w:u w:val="single"/>
        </w:rPr>
        <w:t xml:space="preserve">(iii) To complete a competency evaluation in jail and distribute the evaluation report.</w:t>
      </w:r>
    </w:p>
    <w:p>
      <w:pPr>
        <w:spacing w:before="0" w:after="0" w:line="408" w:lineRule="exact"/>
        <w:ind w:left="0" w:right="0" w:firstLine="576"/>
        <w:jc w:val="left"/>
      </w:pPr>
      <w:r>
        <w:rPr>
          <w:u w:val="single"/>
        </w:rPr>
        <w:t xml:space="preserve">(b)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 A maximum time limit of 14 days is established to complete the services specified in subsection (1)(a) of this section, subject to the limitations under subsection (9) of this section</w:t>
      </w:r>
      <w:r>
        <w:rPr/>
        <w:t xml:space="preserve">.</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w:t>
      </w:r>
      <w:r>
        <w:t>))</w:t>
      </w:r>
      <w:r>
        <w:rPr/>
        <w:t xml:space="preserve"> The time periods measured in </w:t>
      </w:r>
      <w:r>
        <w:t>((</w:t>
      </w:r>
      <w:r>
        <w:rPr>
          <w:strike/>
        </w:rPr>
        <w:t xml:space="preserve">these performance targets and maximum time limits</w:t>
      </w:r>
      <w:r>
        <w:t>))</w:t>
      </w:r>
      <w:r>
        <w:rPr/>
        <w:t xml:space="preserve"> </w:t>
      </w:r>
      <w:r>
        <w:rPr>
          <w:u w:val="single"/>
        </w:rPr>
        <w:t xml:space="preserve">subsection (1) of this section</w:t>
      </w:r>
      <w:r>
        <w:rPr/>
        <w:t xml:space="preserve">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w:t>
      </w:r>
      <w:r>
        <w:t>((</w:t>
      </w:r>
      <w:r>
        <w:rPr>
          <w:strike/>
        </w:rPr>
        <w:t xml:space="preserve">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felony 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felony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felony 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felony 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felony competency</w:t>
      </w:r>
      <w:r>
        <w:rPr/>
        <w:t xml:space="preserve"> restoration period</w:t>
      </w:r>
      <w:r>
        <w:rPr>
          <w:u w:val="single"/>
        </w:rPr>
        <w:t xml:space="preserve">,</w:t>
      </w:r>
      <w:r>
        <w:rPr/>
        <w:t xml:space="preserve"> or at the end of the first </w:t>
      </w:r>
      <w:r>
        <w:rPr>
          <w:u w:val="single"/>
        </w:rPr>
        <w:t xml:space="preserve">felony 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w:t>
      </w:r>
      <w:r>
        <w:rPr>
          <w:u w:val="single"/>
        </w:rPr>
        <w:t xml:space="preserve">nonfelony</w:t>
      </w:r>
      <w:r>
        <w:rPr/>
        <w:t xml:space="preserve">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w:t>
      </w:r>
      <w:r>
        <w:rPr>
          <w:u w:val="single"/>
        </w:rPr>
        <w:t xml:space="preserve">nonfelony</w:t>
      </w:r>
      <w:r>
        <w:rPr/>
        <w:t xml:space="preserve">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w:t>
      </w:r>
      <w:r>
        <w:rPr>
          <w:u w:val="single"/>
        </w:rPr>
        <w:t xml:space="preserve">nonfelony</w:t>
      </w:r>
      <w:r>
        <w:rPr/>
        <w:t xml:space="preserve"> competency restoration treatment is likely to be successful, in addition to the factors listed under RCW 10.77.092. If the prosecuting attorney proves by a preponderance of the evidence that there is a compelling state interest in ordering </w:t>
      </w:r>
      <w:r>
        <w:rPr>
          <w:u w:val="single"/>
        </w:rPr>
        <w:t xml:space="preserve">nonfelony</w:t>
      </w:r>
      <w:r>
        <w:rPr/>
        <w:t xml:space="preserve">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w:t>
      </w:r>
      <w:r>
        <w:rPr>
          <w:u w:val="single"/>
        </w:rPr>
        <w:t xml:space="preserve">nonfelony</w:t>
      </w:r>
      <w:r>
        <w:rPr/>
        <w:t xml:space="preserve">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intent to terminate of the outpatient competency restoration program.</w:t>
      </w:r>
    </w:p>
    <w:p>
      <w:pPr>
        <w:spacing w:before="0" w:after="0" w:line="408" w:lineRule="exact"/>
        <w:ind w:left="0" w:right="0" w:firstLine="576"/>
        <w:jc w:val="left"/>
      </w:pPr>
      <w:r>
        <w:rPr>
          <w:u w:val="single"/>
        </w:rPr>
        <w:t xml:space="preserve">(i) The department may authorize a peace officer to detain the defendant into emergency custody for transport to a crisis stabilization unit, evaluation and treatment facility, emergency department of a local hospital, or triage facility for medical clearance, and may authorize the peace officer to detain the defendant for transport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nonfelony 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and up to 72 hours if the defendant engaged in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2015 1st sp.s. c 7 s 8 are each amended to read as follows:</w:t>
      </w:r>
    </w:p>
    <w:p>
      <w:pPr>
        <w:spacing w:before="0" w:after="0" w:line="408" w:lineRule="exact"/>
        <w:ind w:left="0" w:right="0" w:firstLine="576"/>
        <w:jc w:val="left"/>
      </w:pPr>
      <w:r>
        <w:rPr>
          <w:u w:val="single"/>
        </w:rPr>
        <w:t xml:space="preserve">(1)</w:t>
      </w:r>
      <w:r>
        <w:rPr/>
        <w:t xml:space="preserve"> No person who is criminally insane confined pursuant to this chapter shall be incarcerated in a state correctional institution or facility. This section does not apply to confinement in a mental health facility located wholly within a correctional institution. Confinement of a person who is criminally insane in a county jail or other local facility while awaiting either placement in a treatment program or a court hearing pursuant to this chapter is permitted for no more than seven days.</w:t>
      </w:r>
    </w:p>
    <w:p>
      <w:pPr>
        <w:spacing w:before="0" w:after="0" w:line="408" w:lineRule="exact"/>
        <w:ind w:left="0" w:right="0" w:firstLine="576"/>
        <w:jc w:val="left"/>
      </w:pPr>
      <w:r>
        <w:rPr>
          <w:u w:val="single"/>
        </w:rPr>
        <w:t xml:space="preserve">(2) In the event that a person remains in jail 21 days after service on the department of a court order to transport the person to a facility designated by the department for inpatient competency restoration treatment, the department shall upon the request of any party perform a competency to stand trial status check at reasonable intervals to determine if the circumstances of the person have changed such that the court should authorize an updated competency evaluation, and provide a status update to the parties and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
      <w:pPr>
        <w:jc w:val="center"/>
      </w:pPr>
      <w:r>
        <w:rPr>
          <w:b/>
        </w:rPr>
        <w:t>--- END ---</w:t>
      </w:r>
    </w:p>
    <w:sectPr>
      <w:pgNumType w:start="1"/>
      <w:footerReference xmlns:r="http://schemas.openxmlformats.org/officeDocument/2006/relationships" r:id="Rb6b8099e2edd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124016be44243" /><Relationship Type="http://schemas.openxmlformats.org/officeDocument/2006/relationships/footer" Target="/word/footer1.xml" Id="Rb6b8099e2edd4277" /></Relationships>
</file>