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be6daeca2432d" /></Relationships>
</file>

<file path=word/document.xml><?xml version="1.0" encoding="utf-8"?>
<w:document xmlns:w="http://schemas.openxmlformats.org/wordprocessingml/2006/main">
  <w:body>
    <w:p>
      <w:r>
        <w:t>S-3249.2</w:t>
      </w:r>
    </w:p>
    <w:p>
      <w:pPr>
        <w:jc w:val="center"/>
      </w:pPr>
      <w:r>
        <w:t>_______________________________________________</w:t>
      </w:r>
    </w:p>
    <w:p/>
    <w:p>
      <w:pPr>
        <w:jc w:val="center"/>
      </w:pPr>
      <w:r>
        <w:rPr>
          <w:b/>
        </w:rPr>
        <w:t>SENATE BILL 5695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Wagoner, Brown, Gildon, Kuderer, Lovick, Mullet, Wellman, and C. Wilson</w:t>
      </w:r>
    </w:p>
    <w:p/>
    <w:p>
      <w:r>
        <w:rPr>
          <w:t xml:space="preserve">Prefiled 01/06/22.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body scanner pilot program at the department of corrections;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establish a comprehensive body scanner program at the Washington corrections center for women and at a state correctional facility serving male inmates as part of a pilot program to create drug-free state correctional facilities. The scanner must be capable of detecting the presence of contraband contained under clothing and within body cavities. Each person entering the secure perimeter of a state correctional facility participating in the pilot program under this section shall be subject to security screening with the comprehensive body scanner program.</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inmate with a body scan indicating the presence of substance-related contraband shall undergo, if appropriate, a comprehensive assessment for substance use disorder and receive relevant substance use disorder treatment services, including medication-assisted treatment.</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on scanner use and screening procedures to minimize harmful radiation exposure while safely and effectively utilizing the full body scanners to create drug-free correctional facilities.</w:t>
      </w:r>
    </w:p>
    <w:p>
      <w:pPr>
        <w:spacing w:before="0" w:after="0" w:line="408" w:lineRule="exact"/>
        <w:ind w:left="0" w:right="0" w:firstLine="576"/>
        <w:jc w:val="left"/>
      </w:pPr>
      <w:r>
        <w:rPr/>
        <w:t xml:space="preserve">(4)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 and</w:t>
      </w:r>
    </w:p>
    <w:p>
      <w:pPr>
        <w:spacing w:before="0" w:after="0" w:line="408" w:lineRule="exact"/>
        <w:ind w:left="0" w:right="0" w:firstLine="576"/>
        <w:jc w:val="left"/>
      </w:pPr>
      <w:r>
        <w:rPr/>
        <w:t xml:space="preserve">(d) The number of inmates with positive body scans for substance-related contraband in the prior year who were assessed for substance use disorder and received substance use disorder treatment services while incarcerated.</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(6) This section expires June 30, 2024.</w:t>
      </w:r>
    </w:p>
    <w:p/>
    <w:p>
      <w:pPr>
        <w:jc w:val="center"/>
      </w:pPr>
      <w:r>
        <w:rPr>
          <w:b/>
        </w:rPr>
        <w:t>--- END ---</w:t>
      </w:r>
    </w:p>
    <w:sectPr>
      <w:pgNumType w:start="1"/>
      <w:footerReference xmlns:r="http://schemas.openxmlformats.org/officeDocument/2006/relationships" r:id="R86987b14284849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696a3f61e41b3" /><Relationship Type="http://schemas.openxmlformats.org/officeDocument/2006/relationships/footer" Target="/word/footer1.xml" Id="R86987b14284849f1" /></Relationships>
</file>