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0fba6e3294f01" /></Relationships>
</file>

<file path=word/document.xml><?xml version="1.0" encoding="utf-8"?>
<w:document xmlns:w="http://schemas.openxmlformats.org/wordprocessingml/2006/main">
  <w:body>
    <w:p>
      <w:r>
        <w:t>S-3842.1</w:t>
      </w:r>
    </w:p>
    <w:p>
      <w:pPr>
        <w:jc w:val="center"/>
      </w:pPr>
      <w:r>
        <w:t>_______________________________________________</w:t>
      </w:r>
    </w:p>
    <w:p/>
    <w:p>
      <w:pPr>
        <w:jc w:val="center"/>
      </w:pPr>
      <w:r>
        <w:rPr>
          <w:b/>
        </w:rPr>
        <w:t>SUBSTITUTE SENATE BILL 5722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Nguyen, Liias, Lovelett, Nobles, Pedersen, Saldaña, and Stanford; by request of Office of the Governor)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in buildings; amending RCW 19.27A.200, 19.27A.220, and 19.27A.230; adding a new section to chapter 19.27A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 These resources must include comprehensive customer support, outreach, and technical assistance. These efforts must include notifying building owners of requirements through communications campaigns, providing resources to aid in compliance, and delivering training to equip building owners, and the industry, to be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w:t>
      </w:r>
      <w:r>
        <w:rPr>
          <w:u w:val="single"/>
        </w:rPr>
        <w:t xml:space="preserve">using</w:t>
      </w:r>
      <w:r>
        <w:rPr/>
        <w:t xml:space="preserve"> the previous year to making an application for an incentive under RCW 19.27A.220.</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w:t>
      </w:r>
      <w:r>
        <w:t>))</w:t>
      </w:r>
      <w:r>
        <w:rPr/>
        <w:t xml:space="preserve"> </w:t>
      </w:r>
      <w:r>
        <w:rPr>
          <w:u w:val="single"/>
        </w:rPr>
        <w:t xml:space="preserve">includes a tier 2 covered building or</w:t>
      </w:r>
      <w:r>
        <w:rPr/>
        <w:t xml:space="preserve"> a building where the sum of nonresidential, hotel, motel, and dormitory floor areas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the owner of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w:t>
      </w:r>
      <w:r>
        <w:t>((</w:t>
      </w:r>
      <w:r>
        <w:rPr>
          <w:strike/>
        </w:rPr>
        <w:t xml:space="preserve">commercial</w:t>
      </w:r>
      <w:r>
        <w:t>))</w:t>
      </w:r>
      <w:r>
        <w:rPr/>
        <w:t xml:space="preserve">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"Tier 1 covered building" means a building where the sum of nonresidential, hotel, motel, and dormitory floor areas are equal to or exceed 50,000 gross square feet, excluding the parking garage area.</w:t>
      </w:r>
    </w:p>
    <w:p>
      <w:pPr>
        <w:spacing w:before="0" w:after="0" w:line="408" w:lineRule="exact"/>
        <w:ind w:left="0" w:right="0" w:firstLine="576"/>
        <w:jc w:val="left"/>
      </w:pPr>
      <w:r>
        <w:rPr>
          <w:u w:val="single"/>
        </w:rPr>
        <w:t xml:space="preserve">(27) "Tier 2 covered building" means a building where the sum of multifamily residential, nonresidential, hotel, motel, and dormitory floor areas exceeds 20,000 gross square feet, excluding the parking garage area, but does not exceed 50,000 gross square feet. Tier 2 covered buildings also include multifamily buildings where floor areas are equal to or exceed 50,000 gross square feet.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 The department shall include a small business economic impact statement pursuant to chapter 19.85 RCW as part of the rule making.</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 and an appeals process for administrative determinations, including penalties imposed by the department.</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covered buildings whose owners typically do not employ dedicated building managers including, but not limited to, multifamily housing, child care facilities, and houses of worship. The department shall consider underresourced buildings with a high energy use per square foot, buildings in rural communities, buildings whose tenants are primarily small businesses, and those located in high-risk communities according to the department of health's environmental health disparities map.</w:t>
      </w:r>
    </w:p>
    <w:p>
      <w:pPr>
        <w:spacing w:before="0" w:after="0" w:line="408" w:lineRule="exact"/>
        <w:ind w:left="0" w:right="0" w:firstLine="576"/>
        <w:jc w:val="left"/>
      </w:pPr>
      <w:r>
        <w:rPr/>
        <w:t xml:space="preserve">(d) The department shall establish an incentive program. Incentive assistance must be directed to supplement the cost to the building owner or tenant for these activities, less utility incentives and annual utility savings resulting from these requirements.</w:t>
      </w:r>
    </w:p>
    <w:p>
      <w:pPr>
        <w:spacing w:before="0" w:after="0" w:line="408" w:lineRule="exact"/>
        <w:ind w:left="0" w:right="0" w:firstLine="576"/>
        <w:jc w:val="left"/>
      </w:pPr>
      <w:r>
        <w:rPr/>
        <w:t xml:space="preserve">(e) The department is authorized to implement a tiered incentive structure for upgrading multifamily buildings to provide an enhanced incentive payment to multifamily building owners willing to commit to antidisplacement provisions.</w:t>
      </w:r>
    </w:p>
    <w:p>
      <w:pPr>
        <w:spacing w:before="0" w:after="0" w:line="408" w:lineRule="exact"/>
        <w:ind w:left="0" w:right="0" w:firstLine="576"/>
        <w:jc w:val="left"/>
      </w:pPr>
      <w:r>
        <w:rPr/>
        <w:t xml:space="preserve">(f)(i) The department is authorized to adopt rules related to the imposition of an administrative penalty not to exceed 30 cents per square foot upon a building owner for failing to submit documentation demonstrating compliance with the requirements of this section.</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 By July 1, 2029, the department must evaluate benchmarking data to determine energy use and greenhouse gas emissions averages by building type.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standard and anticipated implementation challenges. The department is authorized to adopt rules for inclusion of tier 2 covered buildings in the state energy performance standard, including greenhouse gas emissions, created in RCW 19.27A.210, beginning in 2030. In adopting performance standards, the department shall consider age of the building in setting targets for tier 2 buildings. The department is authorized to adopt performance standards for multifamily residential buildings on a longer timeline schedule than other tier 2 buildings. By December 31, 2030, the department shall adopt rules for performance standards for tier 2 buildings. The rules may not take effect before the end of the 2031 regular legislative session.</w:t>
      </w:r>
    </w:p>
    <w:p>
      <w:pPr>
        <w:spacing w:before="0" w:after="0" w:line="408" w:lineRule="exact"/>
        <w:ind w:left="0" w:right="0" w:firstLine="576"/>
        <w:jc w:val="left"/>
      </w:pPr>
      <w:r>
        <w:rPr/>
        <w:t xml:space="preserve">(6) The department shall include a small business economic impact statement pursuant to chapter 19.85 RCW as part of the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2021 c 315 s 18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w:t>
      </w:r>
      <w:r>
        <w:rPr>
          <w:u w:val="single"/>
        </w:rPr>
        <w:t xml:space="preserve">for tier 1 buildings. The department may authorize any participating utility, regardless of fuel specific savings, serving a tier 2 building to administer the incentive payment</w:t>
      </w:r>
      <w:r>
        <w:rPr/>
        <w:t xml:space="preserve">.</w:t>
      </w:r>
    </w:p>
    <w:p>
      <w:pPr>
        <w:spacing w:before="0" w:after="0" w:line="408" w:lineRule="exact"/>
        <w:ind w:left="0" w:right="0" w:firstLine="576"/>
        <w:jc w:val="left"/>
      </w:pPr>
      <w:r>
        <w:rPr/>
        <w:t xml:space="preserve">(4) </w:t>
      </w:r>
      <w:r>
        <w:t>((</w:t>
      </w:r>
      <w:r>
        <w:rPr>
          <w:strike/>
        </w:rPr>
        <w:t xml:space="preserve">An</w:t>
      </w:r>
      <w:r>
        <w:t>))</w:t>
      </w:r>
      <w:r>
        <w:rPr/>
        <w:t xml:space="preserve"> </w:t>
      </w:r>
      <w:r>
        <w:rPr>
          <w:u w:val="single"/>
        </w:rPr>
        <w:t xml:space="preserve">A tier 1</w:t>
      </w:r>
      <w:r>
        <w:rPr/>
        <w:t xml:space="preserve"> eligible building owner may receive an incentive payment in the amounts specified in subsection (6)</w:t>
      </w:r>
      <w:r>
        <w:rPr>
          <w:u w:val="single"/>
        </w:rPr>
        <w:t xml:space="preserve">(a)</w:t>
      </w:r>
      <w:r>
        <w:rPr/>
        <w:t xml:space="preserve">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w:t>
      </w:r>
      <w:r>
        <w:t>((</w:t>
      </w:r>
      <w:r>
        <w:rPr>
          <w:strike/>
        </w:rPr>
        <w:t xml:space="preserve">fifteen</w:t>
      </w:r>
      <w:r>
        <w:t>))</w:t>
      </w:r>
      <w:r>
        <w:rPr/>
        <w:t xml:space="preserve"> </w:t>
      </w:r>
      <w:r>
        <w:rPr>
          <w:u w:val="single"/>
        </w:rPr>
        <w:t xml:space="preserve">15</w:t>
      </w:r>
      <w:r>
        <w:rPr/>
        <w:t xml:space="preserve">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w:t>
      </w:r>
      <w:r>
        <w:t>((</w:t>
      </w:r>
      <w:r>
        <w:rPr>
          <w:strike/>
        </w:rPr>
        <w:t xml:space="preserve">(a)</w:t>
      </w:r>
      <w:r>
        <w:t>))</w:t>
      </w:r>
      <w:r>
        <w:rPr/>
        <w:t xml:space="preserve">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a building with more than </w:t>
      </w:r>
      <w:r>
        <w:t>((</w:t>
      </w:r>
      <w:r>
        <w:rPr>
          <w:strike/>
        </w:rPr>
        <w:t xml:space="preserve">two hundred twenty thousand</w:t>
      </w:r>
      <w:r>
        <w:t>))</w:t>
      </w:r>
      <w:r>
        <w:rPr/>
        <w:t xml:space="preserve"> </w:t>
      </w:r>
      <w:r>
        <w:rPr>
          <w:u w:val="single"/>
        </w:rPr>
        <w:t xml:space="preserve">220,000</w:t>
      </w:r>
      <w:r>
        <w:rPr/>
        <w:t xml:space="preserve"> gross square feet, beginning July 1, 2021, through June 1, 2025;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beginning July 1, 2021, through June 1, 2026;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gross square feet, beginning July 1, 2021, through June 1, 2027.</w:t>
      </w:r>
    </w:p>
    <w:p>
      <w:pPr>
        <w:spacing w:before="0" w:after="0" w:line="408" w:lineRule="exact"/>
        <w:ind w:left="0" w:right="0" w:firstLine="576"/>
        <w:jc w:val="left"/>
      </w:pPr>
      <w:r>
        <w:rPr>
          <w:u w:val="single"/>
        </w:rPr>
        <w:t xml:space="preserve">(6)(a) A tier 2 eligible building owner may receive an incentive payment in the amounts specified in (b) of this subsection only if all required benchmarking, energy management, and operations and maintenance planning documentation has been submitted to the department and an incentive application has been completed. An eligible tier 2 building owner may submit an application beginning July 1, 2024, through June 1, 2030.</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t>((</w:t>
      </w:r>
      <w:r>
        <w:rPr>
          <w:strike/>
        </w:rPr>
        <w:t xml:space="preserve">(6) An</w:t>
      </w:r>
      <w:r>
        <w:t>))</w:t>
      </w:r>
      <w:r>
        <w:rPr/>
        <w:t xml:space="preserve"> </w:t>
      </w:r>
      <w:r>
        <w:rPr>
          <w:u w:val="single"/>
        </w:rPr>
        <w:t xml:space="preserve">(7)(a) A tier 1</w:t>
      </w:r>
      <w:r>
        <w:rPr/>
        <w:t xml:space="preserve"> eligible building owner that demonstrates early compliance with the applicable energy use intensity target under the standard established under RCW 19.27A.210 may receive a base incentive payment of </w:t>
      </w:r>
      <w:r>
        <w:t>((</w:t>
      </w:r>
      <w:r>
        <w:rPr>
          <w:strike/>
        </w:rPr>
        <w:t xml:space="preserve">eighty-five</w:t>
      </w:r>
      <w:r>
        <w:t>))</w:t>
      </w:r>
      <w:r>
        <w:rPr/>
        <w:t xml:space="preserve"> </w:t>
      </w:r>
      <w:r>
        <w:rPr>
          <w:u w:val="single"/>
        </w:rPr>
        <w:t xml:space="preserve">85</w:t>
      </w:r>
      <w:r>
        <w:rPr/>
        <w:t xml:space="preserve"> cents per gross square foot of floor area, excluding parking, unconditioned, or semiconditioned spaces.</w:t>
      </w:r>
    </w:p>
    <w:p>
      <w:pPr>
        <w:spacing w:before="0" w:after="0" w:line="408" w:lineRule="exact"/>
        <w:ind w:left="0" w:right="0" w:firstLine="576"/>
        <w:jc w:val="left"/>
      </w:pPr>
      <w:r>
        <w:t>((</w:t>
      </w:r>
      <w:r>
        <w:rPr>
          <w:strike/>
        </w:rPr>
        <w:t xml:space="preserve">(7)</w:t>
      </w:r>
      <w:r>
        <w:t>))</w:t>
      </w:r>
      <w:r>
        <w:rPr/>
        <w:t xml:space="preserve"> </w:t>
      </w:r>
      <w:r>
        <w:rPr>
          <w:u w:val="single"/>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w:t>
      </w:r>
    </w:p>
    <w:p>
      <w:pPr>
        <w:spacing w:before="0" w:after="0" w:line="408" w:lineRule="exact"/>
        <w:ind w:left="0" w:right="0" w:firstLine="576"/>
        <w:jc w:val="left"/>
      </w:pPr>
      <w:r>
        <w:rPr>
          <w:u w:val="single"/>
        </w:rPr>
        <w:t xml:space="preserve">(8)</w:t>
      </w:r>
      <w:r>
        <w:rPr/>
        <w:t xml:space="preserve"> The incentives provided in subsection </w:t>
      </w:r>
      <w:r>
        <w:t>((</w:t>
      </w:r>
      <w:r>
        <w:rPr>
          <w:strike/>
        </w:rPr>
        <w:t xml:space="preserve">(6)</w:t>
      </w:r>
      <w:r>
        <w:t>))</w:t>
      </w:r>
      <w:r>
        <w:rPr/>
        <w:t xml:space="preserve"> </w:t>
      </w:r>
      <w:r>
        <w:rPr>
          <w:u w:val="single"/>
        </w:rPr>
        <w:t xml:space="preserve">(7)</w:t>
      </w:r>
      <w:r>
        <w:rPr/>
        <w:t xml:space="preserve"> of this section are subject to the limitations and requirements of this section, including any rules or procedures implementing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provide an administrative process for an eligible building owner to appeal a determination of an incentive eligibility or amount.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230</w:t>
      </w:r>
      <w:r>
        <w:rPr/>
        <w:t xml:space="preserve"> and 2019 c 285 s 5 are each amended to read as follows:</w:t>
      </w:r>
    </w:p>
    <w:p>
      <w:pPr>
        <w:spacing w:before="0" w:after="0" w:line="408" w:lineRule="exact"/>
        <w:ind w:left="0" w:right="0" w:firstLine="576"/>
        <w:jc w:val="left"/>
      </w:pPr>
      <w:r>
        <w:rPr>
          <w:u w:val="single"/>
        </w:rPr>
        <w:t xml:space="preserve">(1)</w:t>
      </w:r>
      <w:r>
        <w:rPr/>
        <w:t xml:space="preserve"> The department may not issue a certification for </w:t>
      </w:r>
      <w:r>
        <w:t>((</w:t>
      </w:r>
      <w:r>
        <w:rPr>
          <w:strike/>
        </w:rPr>
        <w:t xml:space="preserve">an</w:t>
      </w:r>
      <w:r>
        <w:t>))</w:t>
      </w:r>
      <w:r>
        <w:rPr/>
        <w:t xml:space="preserve"> </w:t>
      </w:r>
      <w:r>
        <w:rPr>
          <w:u w:val="single"/>
        </w:rPr>
        <w:t xml:space="preserve">a tier 1</w:t>
      </w:r>
      <w:r>
        <w:rPr/>
        <w:t xml:space="preserve"> incentive application under RCW 19.27A.220</w:t>
      </w:r>
      <w:r>
        <w:rPr>
          <w:u w:val="single"/>
        </w:rPr>
        <w:t xml:space="preserve">(6)(a)</w:t>
      </w:r>
      <w:r>
        <w:rPr/>
        <w:t xml:space="preserve"> if doing so is likely to result in total incentive payments under RCW 19.27A.220 in excess of </w:t>
      </w:r>
      <w:r>
        <w:t>((</w:t>
      </w:r>
      <w:r>
        <w:rPr>
          <w:strike/>
        </w:rPr>
        <w:t xml:space="preserve">seventy-five million dollars</w:t>
      </w:r>
      <w:r>
        <w:t>))</w:t>
      </w:r>
      <w:r>
        <w:rPr/>
        <w:t xml:space="preserve"> </w:t>
      </w:r>
      <w:r>
        <w:rPr>
          <w:u w:val="single"/>
        </w:rPr>
        <w:t xml:space="preserve">$75,000,000</w:t>
      </w:r>
      <w:r>
        <w:rPr/>
        <w:t xml:space="preserve">.</w:t>
      </w:r>
    </w:p>
    <w:p>
      <w:pPr>
        <w:spacing w:before="0" w:after="0" w:line="408" w:lineRule="exact"/>
        <w:ind w:left="0" w:right="0" w:firstLine="576"/>
        <w:jc w:val="left"/>
      </w:pPr>
      <w:r>
        <w:rPr>
          <w:u w:val="single"/>
        </w:rPr>
        <w:t xml:space="preserve">(2) The department may not issue certification for a tier 2 incentive application under RCW 19.27A.220(6)(b) if doing so is likely to result in total incentive payments under RCW 19.27A.220(6)(b) in excess of $150,000,000.</w:t>
      </w:r>
    </w:p>
    <w:p/>
    <w:p>
      <w:pPr>
        <w:jc w:val="center"/>
      </w:pPr>
      <w:r>
        <w:rPr>
          <w:b/>
        </w:rPr>
        <w:t>--- END ---</w:t>
      </w:r>
    </w:p>
    <w:sectPr>
      <w:pgNumType w:start="1"/>
      <w:footerReference xmlns:r="http://schemas.openxmlformats.org/officeDocument/2006/relationships" r:id="Rbbcd6f6e9c064a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c761f357840de" /><Relationship Type="http://schemas.openxmlformats.org/officeDocument/2006/relationships/footer" Target="/word/footer1.xml" Id="Rbbcd6f6e9c064a40" /></Relationships>
</file>