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ae71ed329a442e" /></Relationships>
</file>

<file path=word/document.xml><?xml version="1.0" encoding="utf-8"?>
<w:document xmlns:w="http://schemas.openxmlformats.org/wordprocessingml/2006/main">
  <w:body>
    <w:p>
      <w:r>
        <w:t>S-3385.1</w:t>
      </w:r>
    </w:p>
    <w:p>
      <w:pPr>
        <w:jc w:val="center"/>
      </w:pPr>
      <w:r>
        <w:t>_______________________________________________</w:t>
      </w:r>
    </w:p>
    <w:p/>
    <w:p>
      <w:pPr>
        <w:jc w:val="center"/>
      </w:pPr>
      <w:r>
        <w:rPr>
          <w:b/>
        </w:rPr>
        <w:t>SENATE BILL 5729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Nguyen, Das, Hasegawa, Kuderer, Nobles, Robinson, Saldaña, Stanford, Trudeau, and C. Wilson</w:t>
      </w:r>
    </w:p>
    <w:p/>
    <w:p>
      <w:r>
        <w:rPr>
          <w:t xml:space="preserve">Prefiled 01/07/22.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good cause exception to administrative hearing deadlines for applicants or recipients of certain public assistance benefits; and amending RCW 74.08.080 and 74.09.741.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w:t>
      </w:r>
      <w:r>
        <w:rPr/>
        <w:t xml:space="preserve">. The authority shall determine which agency is responsible for representing the state of Washington in the hearing, in accordance with agreements entered pursuant to RCW 41.05.021. </w:t>
      </w:r>
      <w:r>
        <w:rPr>
          <w:u w:val="single"/>
        </w:rPr>
        <w:t xml:space="preserve">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
      <w:pPr>
        <w:jc w:val="center"/>
      </w:pPr>
      <w:r>
        <w:rPr>
          <w:b/>
        </w:rPr>
        <w:t>--- END ---</w:t>
      </w:r>
    </w:p>
    <w:sectPr>
      <w:pgNumType w:start="1"/>
      <w:footerReference xmlns:r="http://schemas.openxmlformats.org/officeDocument/2006/relationships" r:id="Redb0984f1025476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f8e5b9a834cb6" /><Relationship Type="http://schemas.openxmlformats.org/officeDocument/2006/relationships/footer" Target="/word/footer1.xml" Id="Redb0984f1025476b" /></Relationships>
</file>