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007442a2e94831" /></Relationships>
</file>

<file path=word/document.xml><?xml version="1.0" encoding="utf-8"?>
<w:document xmlns:w="http://schemas.openxmlformats.org/wordprocessingml/2006/main">
  <w:body>
    <w:p>
      <w:r>
        <w:t>S-3381.3</w:t>
      </w:r>
    </w:p>
    <w:p>
      <w:pPr>
        <w:jc w:val="center"/>
      </w:pPr>
      <w:r>
        <w:t>_______________________________________________</w:t>
      </w:r>
    </w:p>
    <w:p/>
    <w:p>
      <w:pPr>
        <w:jc w:val="center"/>
      </w:pPr>
      <w:r>
        <w:rPr>
          <w:b/>
        </w:rPr>
        <w:t>SENATE BILL 5755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Billig, Nobles, Saldaña, and Wellman</w:t>
      </w:r>
    </w:p>
    <w:p/>
    <w:p>
      <w:r>
        <w:rPr>
          <w:t xml:space="preserve">Prefiled 01/07/22.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cities to establish a limited sales and use tax incentive program to encourage redevelopment of vacant lands in urban areas; adding a new chapter to Title 82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(4) It is critical that Washington state promote its cities and its property owners that will provide affordable housing;</w:t>
      </w:r>
    </w:p>
    <w:p>
      <w:pPr>
        <w:spacing w:before="0" w:after="0" w:line="408" w:lineRule="exact"/>
        <w:ind w:left="0" w:right="0" w:firstLine="576"/>
        <w:jc w:val="left"/>
      </w:pPr>
      <w:r>
        <w:rPr/>
        <w:t xml:space="preserve">(5) A meaningful, fair, and predictable economic incentive should be created to stimulate the redevelopment of vacant or underdeveloped property in targeted urban areas through a limited sales and use tax deferral program as provided by this chapter; and</w:t>
      </w:r>
    </w:p>
    <w:p>
      <w:pPr>
        <w:spacing w:before="0" w:after="0" w:line="408" w:lineRule="exact"/>
        <w:ind w:left="0" w:right="0" w:firstLine="576"/>
        <w:jc w:val="left"/>
      </w:pPr>
      <w:r>
        <w:rPr/>
        <w:t xml:space="preserve">(6) This limited tax deferral will help the owners of vacant or undeveloped property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vacant or undeveloped land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both significant areas of vacant or undeveloped land and a lack of affordable housing in areas proximate to the vacant or undeveloped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multifamily housing that is rented by a person or household whose monthly housing costs, including utilities other than telephone, do not exceed 30 percent of the household's monthly income. "Affordable housing" also means multifamily housing that is within the means of low or moderate-income households for the purposes of housing intended for owner occupancy.</w:t>
      </w:r>
    </w:p>
    <w:p>
      <w:pPr>
        <w:spacing w:before="0" w:after="0" w:line="408" w:lineRule="exact"/>
        <w:ind w:left="0" w:right="0" w:firstLine="576"/>
        <w:jc w:val="left"/>
      </w:pPr>
      <w:r>
        <w:rPr/>
        <w:t xml:space="preserve">(2) "Applicant" means an owner of vacant or undeveloped property.</w:t>
      </w:r>
    </w:p>
    <w:p>
      <w:pPr>
        <w:spacing w:before="0" w:after="0" w:line="408" w:lineRule="exact"/>
        <w:ind w:left="0" w:right="0" w:firstLine="576"/>
        <w:jc w:val="left"/>
      </w:pPr>
      <w:r>
        <w:rPr/>
        <w:t xml:space="preserve">(3) "City" means a city with a population of at least 150,000 and not more than 250,000 at the time the city initially establishes the program under this section.</w:t>
      </w:r>
    </w:p>
    <w:p>
      <w:pPr>
        <w:spacing w:before="0" w:after="0" w:line="408" w:lineRule="exact"/>
        <w:ind w:left="0" w:right="0" w:firstLine="576"/>
        <w:jc w:val="left"/>
      </w:pPr>
      <w:r>
        <w:rPr/>
        <w:t xml:space="preserve">(4) "Conditional recipient" means an owner of vacant or undeveloped land granted a conditional certificate of program approval under this chapter, which includes any successor owner of the property.</w:t>
      </w:r>
    </w:p>
    <w:p>
      <w:pPr>
        <w:spacing w:before="0" w:after="0" w:line="408" w:lineRule="exact"/>
        <w:ind w:left="0" w:right="0" w:firstLine="576"/>
        <w:jc w:val="left"/>
      </w:pPr>
      <w:r>
        <w:rPr/>
        <w:t xml:space="preserve">(5)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(6)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(7)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(8)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(9) "Household" means a single person, family, or unrelated persons living together.</w:t>
      </w:r>
    </w:p>
    <w:p>
      <w:pPr>
        <w:spacing w:before="0" w:after="0" w:line="408" w:lineRule="exact"/>
        <w:ind w:left="0" w:right="0" w:firstLine="576"/>
        <w:jc w:val="left"/>
      </w:pPr>
      <w:r>
        <w:rPr/>
        <w:t xml:space="preserve">(10)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(11) "Low-income household" means a single person, family, or unrelated persons living together whose adjusted income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(12)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(13) "Multifamily housing" has the same meaning as "multiple-unit housing" in RCW 84.14.010.</w:t>
      </w:r>
    </w:p>
    <w:p>
      <w:pPr>
        <w:spacing w:before="0" w:after="0" w:line="408" w:lineRule="exact"/>
        <w:ind w:left="0" w:right="0" w:firstLine="576"/>
        <w:jc w:val="left"/>
      </w:pPr>
      <w:r>
        <w:rPr/>
        <w:t xml:space="preserve">(14) "Owner" means the property owner of record.</w:t>
      </w:r>
    </w:p>
    <w:p>
      <w:pPr>
        <w:spacing w:before="0" w:after="0" w:line="408" w:lineRule="exact"/>
        <w:ind w:left="0" w:right="0" w:firstLine="576"/>
        <w:jc w:val="left"/>
      </w:pPr>
      <w:r>
        <w:rPr/>
        <w:t xml:space="preserve">(15) "Vacant or undeveloped" means that there are no existing habitable building improvements on the property which is targeted for new or expanded residential or mixed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vacant or undeveloped property seeking a sales and use tax deferral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 and</w:t>
      </w:r>
    </w:p>
    <w:p>
      <w:pPr>
        <w:spacing w:before="0" w:after="0" w:line="408" w:lineRule="exact"/>
        <w:ind w:left="0" w:right="0" w:firstLine="576"/>
        <w:jc w:val="left"/>
      </w:pPr>
      <w:r>
        <w:rPr/>
        <w:t xml:space="preserve">(f)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50 percent of the units as affordable housing units to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is vacant or undeveloped;</w:t>
      </w:r>
    </w:p>
    <w:p>
      <w:pPr>
        <w:spacing w:before="0" w:after="0" w:line="408" w:lineRule="exact"/>
        <w:ind w:left="0" w:right="0" w:firstLine="576"/>
        <w:jc w:val="left"/>
      </w:pPr>
      <w:r>
        <w:rPr/>
        <w:t xml:space="preserve">(4) The area where the investment project will occur is located within an area zoned for multifamily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 and</w:t>
      </w:r>
    </w:p>
    <w:p>
      <w:pPr>
        <w:spacing w:before="0" w:after="0" w:line="408" w:lineRule="exact"/>
        <w:ind w:left="0" w:right="0" w:firstLine="576"/>
        <w:jc w:val="left"/>
      </w:pPr>
      <w:r>
        <w:rPr/>
        <w:t xml:space="preserve">(6)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continued sales and use tax deferral under this chapter;</w:t>
      </w:r>
    </w:p>
    <w:p>
      <w:pPr>
        <w:spacing w:before="0" w:after="0" w:line="408" w:lineRule="exact"/>
        <w:ind w:left="0" w:right="0" w:firstLine="576"/>
        <w:jc w:val="left"/>
      </w:pPr>
      <w:r>
        <w:rPr/>
        <w:t xml:space="preserve">(b) A statement of the new affordable housing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w:t>
      </w:r>
    </w:p>
    <w:p>
      <w:pPr>
        <w:spacing w:before="0" w:after="0" w:line="408" w:lineRule="exact"/>
        <w:ind w:left="0" w:right="0" w:firstLine="576"/>
        <w:jc w:val="left"/>
      </w:pPr>
      <w:r>
        <w:rPr/>
        <w:t xml:space="preserve">(3) The city must notify the conditional recipient within 30 days that a continued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continued deferral of sales and use taxes. The conditional recipient may appeal a decision by the city to deny a continued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continued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the sales and use tax deferral certificate was issued under section 12 of this act. A debt for deferred taxes will not be extinguished by insolvency or other failure of the recipient. Transfer of ownership does not terminate the deferral. The deferral is transferred, subject to the successor meeting the eligibility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conditional certificate of tax deferral;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program approval under this chapter must report annually by December 31st of each year, beginning in 2022,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affordable housing units resulting from the new construction;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30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2032.</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and penalties retroactively to the date of deferral. A debt for deferred taxes will not be extinguished by insolvency or other failure of the recipient. Transfer of ownership does not terminate the deferral. The deferral is transferred, subject to the successor meeting the eligibility requirements of this chapter.</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3c2398995e346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a357100904368" /><Relationship Type="http://schemas.openxmlformats.org/officeDocument/2006/relationships/footer" Target="/word/footer1.xml" Id="Rb3c2398995e34644" /></Relationships>
</file>