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2623b7b96a437a" /></Relationships>
</file>

<file path=word/document.xml><?xml version="1.0" encoding="utf-8"?>
<w:document xmlns:w="http://schemas.openxmlformats.org/wordprocessingml/2006/main">
  <w:body>
    <w:p>
      <w:r>
        <w:t>S-4013.1</w:t>
      </w:r>
    </w:p>
    <w:p>
      <w:pPr>
        <w:jc w:val="center"/>
      </w:pPr>
      <w:r>
        <w:t>_______________________________________________</w:t>
      </w:r>
    </w:p>
    <w:p/>
    <w:p>
      <w:pPr>
        <w:jc w:val="center"/>
      </w:pPr>
      <w:r>
        <w:rPr>
          <w:b/>
        </w:rPr>
        <w:t>SUBSTITUTE SENATE BILL 5762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Wagoner, Lovick, and Nobles)</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schools that show a commitment to students and families connected to the nation's military. Schools that earn the award will receive a special purple star recognition to display on site. The office of the superintendent of public instruction may collaborate with a state agency or nonprofit organization that has experience serving military-connected students and families to administer the award. A school must be considered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must complete the following required activities to be considered to receive the purple star award:</w:t>
      </w:r>
    </w:p>
    <w:p>
      <w:pPr>
        <w:spacing w:before="0" w:after="0" w:line="408" w:lineRule="exact"/>
        <w:ind w:left="0" w:right="0" w:firstLine="576"/>
        <w:jc w:val="left"/>
      </w:pPr>
      <w:r>
        <w:rPr/>
        <w:t xml:space="preserve">(i) The school must have a staff point of contact for military students and families. The school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maintains a dedicated page on its website featuring resources for military families.</w:t>
      </w:r>
    </w:p>
    <w:p>
      <w:pPr>
        <w:spacing w:before="0" w:after="0" w:line="408" w:lineRule="exact"/>
        <w:ind w:left="0" w:right="0" w:firstLine="576"/>
        <w:jc w:val="left"/>
      </w:pPr>
      <w:r>
        <w:rPr/>
        <w:t xml:space="preserve">(c) A school must complete at least one of the following optional activities to be considered to receive the purple star award:</w:t>
      </w:r>
    </w:p>
    <w:p>
      <w:pPr>
        <w:spacing w:before="0" w:after="0" w:line="408" w:lineRule="exact"/>
        <w:ind w:left="0" w:right="0" w:firstLine="576"/>
        <w:jc w:val="left"/>
      </w:pPr>
      <w:r>
        <w:rPr/>
        <w:t xml:space="preserve">(i) The school provides professional development for additional staff on special considerations for military students and families;</w:t>
      </w:r>
    </w:p>
    <w:p>
      <w:pPr>
        <w:spacing w:before="0" w:after="0" w:line="408" w:lineRule="exact"/>
        <w:ind w:left="0" w:right="0" w:firstLine="576"/>
        <w:jc w:val="left"/>
      </w:pPr>
      <w:r>
        <w:rPr/>
        <w:t xml:space="preserve">(ii) The local school district board of directors passes a resolution publicizing the school's support for military children and families; or</w:t>
      </w:r>
    </w:p>
    <w:p>
      <w:pPr>
        <w:spacing w:before="0" w:after="0" w:line="408" w:lineRule="exact"/>
        <w:ind w:left="0" w:right="0" w:firstLine="576"/>
        <w:jc w:val="left"/>
      </w:pPr>
      <w:r>
        <w:rPr/>
        <w:t xml:space="preserve">(iii) The school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or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A timeline for submittal of an application for consideration and for announcement of the award recipients; and</w:t>
      </w:r>
    </w:p>
    <w:p>
      <w:pPr>
        <w:spacing w:before="0" w:after="0" w:line="408" w:lineRule="exact"/>
        <w:ind w:left="0" w:right="0" w:firstLine="576"/>
        <w:jc w:val="left"/>
      </w:pPr>
      <w:r>
        <w:rPr/>
        <w:t xml:space="preserve">(c) The criteria being used to review the applications received and determine which school or schools receive the award.</w:t>
      </w:r>
    </w:p>
    <w:p>
      <w:pPr>
        <w:spacing w:before="0" w:after="0" w:line="408" w:lineRule="exact"/>
        <w:ind w:left="0" w:right="0" w:firstLine="576"/>
        <w:jc w:val="left"/>
      </w:pPr>
      <w:r>
        <w:rPr/>
        <w:t xml:space="preserve">(3) The purple star award shall be awarded every two years, beginning in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
      <w:pPr>
        <w:jc w:val="center"/>
      </w:pPr>
      <w:r>
        <w:rPr>
          <w:b/>
        </w:rPr>
        <w:t>--- END ---</w:t>
      </w:r>
    </w:p>
    <w:sectPr>
      <w:pgNumType w:start="1"/>
      <w:footerReference xmlns:r="http://schemas.openxmlformats.org/officeDocument/2006/relationships" r:id="R11bf2671b06943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2a67b947a45a7" /><Relationship Type="http://schemas.openxmlformats.org/officeDocument/2006/relationships/footer" Target="/word/footer1.xml" Id="R11bf2671b06943d3" /></Relationships>
</file>