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895e22ef04109" /></Relationships>
</file>

<file path=word/document.xml><?xml version="1.0" encoding="utf-8"?>
<w:document xmlns:w="http://schemas.openxmlformats.org/wordprocessingml/2006/main">
  <w:body>
    <w:p>
      <w:r>
        <w:t>S-3366.1</w:t>
      </w:r>
    </w:p>
    <w:p>
      <w:pPr>
        <w:jc w:val="center"/>
      </w:pPr>
      <w:r>
        <w:t>_______________________________________________</w:t>
      </w:r>
    </w:p>
    <w:p/>
    <w:p>
      <w:pPr>
        <w:jc w:val="center"/>
      </w:pPr>
      <w:r>
        <w:rPr>
          <w:b/>
        </w:rPr>
        <w:t>SENATE BILL 5772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Saldaña, Nguyen, Dhingra, Hasegawa, Nobles, and Stanford</w:t>
      </w:r>
    </w:p>
    <w:p/>
    <w:p>
      <w:r>
        <w:rPr>
          <w:t xml:space="preserve">Read first time 01/11/22.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postconviction access to counsel; amending RCW 2.70.020 and 10.73.150;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w:t>
      </w:r>
      <w:r>
        <w:rPr>
          <w:u w:val="single"/>
        </w:rPr>
        <w:t xml:space="preserve">and RCW 10.73.150</w:t>
      </w:r>
      <w:r>
        <w:rPr/>
        <w:t xml:space="preserve">;</w:t>
      </w:r>
    </w:p>
    <w:p>
      <w:pPr>
        <w:spacing w:before="0" w:after="0" w:line="408" w:lineRule="exact"/>
        <w:ind w:left="0" w:right="0" w:firstLine="576"/>
        <w:jc w:val="left"/>
      </w:pPr>
      <w:r>
        <w:rPr/>
        <w:t xml:space="preserve">(c) </w:t>
      </w:r>
      <w:r>
        <w:rPr>
          <w:u w:val="single"/>
        </w:rPr>
        <w:t xml:space="preserve">Postconviction indigent defense as provided in RCW 10.73.150;</w:t>
      </w:r>
    </w:p>
    <w:p>
      <w:pPr>
        <w:spacing w:before="0" w:after="0" w:line="408" w:lineRule="exact"/>
        <w:ind w:left="0" w:right="0" w:firstLine="576"/>
        <w:jc w:val="left"/>
      </w:pPr>
      <w:r>
        <w:rPr>
          <w:u w:val="single"/>
        </w:rPr>
        <w:t xml:space="preserve">(d)</w:t>
      </w:r>
      <w:r>
        <w:rPr/>
        <w:t xml:space="preserve"> Representation of indigent parents qualified for appointed counsel in dependency and termination cases, as provided in RCW 13.34.090 and 13.34.092;</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Extraordinary criminal justice cost petitions, as provided in RCW 43.330.190;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Compilation of copies of DNA test requests by persons convicted of felonies, as provided in RCW 10.73.170;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Representation of indigent respondents qualified for appointed counsel in sexually violent predator civil commitment cases, as provided in chapter 71.09 RCW;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(2)</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150</w:t>
      </w:r>
      <w:r>
        <w:rPr/>
        <w:t xml:space="preserve"> and 1995 c 275 s 2 are each amended to read as follows:</w:t>
      </w:r>
    </w:p>
    <w:p>
      <w:pPr>
        <w:spacing w:before="0" w:after="0" w:line="408" w:lineRule="exact"/>
        <w:ind w:left="0" w:right="0" w:firstLine="576"/>
        <w:jc w:val="left"/>
      </w:pPr>
      <w:r>
        <w:rPr/>
        <w:t xml:space="preserve">Counsel shall be provided </w:t>
      </w:r>
      <w:r>
        <w:rPr>
          <w:u w:val="single"/>
        </w:rPr>
        <w:t xml:space="preserve">by the office of public defense</w:t>
      </w:r>
      <w:r>
        <w:rPr/>
        <w:t xml:space="preserve"> at state expense to an adult offender convicted of a crime and to a juvenile offender convicted of an offense when the offender is indigent or indigent and able to contribute as those terms are defined in RCW 10.101.010 and the offender:</w:t>
      </w:r>
    </w:p>
    <w:p>
      <w:pPr>
        <w:spacing w:before="0" w:after="0" w:line="408" w:lineRule="exact"/>
        <w:ind w:left="0" w:right="0" w:firstLine="576"/>
        <w:jc w:val="left"/>
      </w:pPr>
      <w:r>
        <w:rPr/>
        <w:t xml:space="preserve">(1) Files an appeal as a matter of right;</w:t>
      </w:r>
    </w:p>
    <w:p>
      <w:pPr>
        <w:spacing w:before="0" w:after="0" w:line="408" w:lineRule="exact"/>
        <w:ind w:left="0" w:right="0" w:firstLine="576"/>
        <w:jc w:val="left"/>
      </w:pPr>
      <w:r>
        <w:rPr/>
        <w:t xml:space="preserve">(2) Responds to an appeal filed as a matter of right or responds to a motion for discretionary review or petition for review filed by the state;</w:t>
      </w:r>
    </w:p>
    <w:p>
      <w:pPr>
        <w:spacing w:before="0" w:after="0" w:line="408" w:lineRule="exact"/>
        <w:ind w:left="0" w:right="0" w:firstLine="576"/>
        <w:jc w:val="left"/>
      </w:pPr>
      <w:r>
        <w:rPr/>
        <w:t xml:space="preserve">(3) </w:t>
      </w:r>
      <w:r>
        <w:t>((</w:t>
      </w:r>
      <w:r>
        <w:rPr>
          <w:strike/>
        </w:rPr>
        <w:t xml:space="preserve">Is under a sentence of death and requests</w:t>
      </w:r>
      <w:r>
        <w:t>))</w:t>
      </w:r>
      <w:r>
        <w:rPr/>
        <w:t xml:space="preserve"> </w:t>
      </w:r>
      <w:r>
        <w:rPr>
          <w:u w:val="single"/>
        </w:rPr>
        <w:t xml:space="preserve">Requests</w:t>
      </w:r>
      <w:r>
        <w:rPr/>
        <w:t xml:space="preserve"> counsel be appointed to file and prosecute </w:t>
      </w:r>
      <w:r>
        <w:t>((</w:t>
      </w:r>
      <w:r>
        <w:rPr>
          <w:strike/>
        </w:rPr>
        <w:t xml:space="preserve">a</w:t>
      </w:r>
      <w:r>
        <w:t>))</w:t>
      </w:r>
      <w:r>
        <w:rPr/>
        <w:t xml:space="preserve"> </w:t>
      </w:r>
      <w:r>
        <w:rPr>
          <w:u w:val="single"/>
        </w:rPr>
        <w:t xml:space="preserve">one</w:t>
      </w:r>
      <w:r>
        <w:rPr/>
        <w:t xml:space="preserve"> motion or petition for collateral attack as defined in RCW 10.73.090. Counsel may be provided at public expense to file or prosecute a second or subsequent collateral attack on the same judgment and sentence, if the court determines that the collateral attack is not barred by RCW 10.73.090 or 10.73.140;</w:t>
      </w:r>
    </w:p>
    <w:p>
      <w:pPr>
        <w:spacing w:before="0" w:after="0" w:line="408" w:lineRule="exact"/>
        <w:ind w:left="0" w:right="0" w:firstLine="576"/>
        <w:jc w:val="left"/>
      </w:pPr>
      <w:r>
        <w:rPr/>
        <w:t xml:space="preserve">(4) </w:t>
      </w:r>
      <w:r>
        <w:t>((</w:t>
      </w:r>
      <w:r>
        <w:rPr>
          <w:strike/>
        </w:rPr>
        <w:t xml:space="preserve">Is not under a sentence of death and requests counsel to prosecute a collateral attack after the chief judge has determined that the issues raised by the petition are not frivolous, in accordance with the procedure contained in rules of appellate procedure 16.11. Counsel shall not be provided at public expense to file or prosecute a second or subsequent collateral attack on the same judgment and sentence;</w:t>
      </w:r>
    </w:p>
    <w:p>
      <w:pPr>
        <w:spacing w:before="0" w:after="0" w:line="408" w:lineRule="exact"/>
        <w:ind w:left="0" w:right="0" w:firstLine="576"/>
        <w:jc w:val="left"/>
      </w:pPr>
      <w:r>
        <w:rPr>
          <w:strike/>
        </w:rPr>
        <w:t xml:space="preserve">(5)</w:t>
      </w:r>
      <w:r>
        <w:t>))</w:t>
      </w:r>
      <w:r>
        <w:rPr/>
        <w:t xml:space="preserve"> Responds to a collateral attack filed by the state or responds to or prosecutes an appeal from a collateral attack that was filed by the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Prosecutes a motion or petition for review after the supreme court or court of appeals has accepted discretionary review of a decision of a court of limited jurisdiction; </w:t>
      </w:r>
      <w:r>
        <w:t>((</w:t>
      </w:r>
      <w:r>
        <w:rPr>
          <w:strike/>
        </w:rPr>
        <w:t xml:space="preserve">or</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Prosecutes a motion or petition for review after the supreme court has accepted discretionary review of a court of appeals decision</w:t>
      </w:r>
      <w:r>
        <w:rPr>
          <w:u w:val="single"/>
        </w:rPr>
        <w:t xml:space="preserve">;</w:t>
      </w:r>
    </w:p>
    <w:p>
      <w:pPr>
        <w:spacing w:before="0" w:after="0" w:line="408" w:lineRule="exact"/>
        <w:ind w:left="0" w:right="0" w:firstLine="576"/>
        <w:jc w:val="left"/>
      </w:pPr>
      <w:r>
        <w:rPr>
          <w:u w:val="single"/>
        </w:rPr>
        <w:t xml:space="preserve">(7) Requests counsel be appointed to petition the sentencing court if the legislature creates an ability to petition the sentencing court; or</w:t>
      </w:r>
    </w:p>
    <w:p>
      <w:pPr>
        <w:spacing w:before="0" w:after="0" w:line="408" w:lineRule="exact"/>
        <w:ind w:left="0" w:right="0" w:firstLine="576"/>
        <w:jc w:val="left"/>
      </w:pPr>
      <w:r>
        <w:rPr>
          <w:u w:val="single"/>
        </w:rPr>
        <w:t xml:space="preserve">(8) Requests counsel be appointed to challenge a conviction or sentence if a final decision of an appellate court creates the ability to challenge a conviction or sentence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5c452a90751b47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b3ff2a27a494c" /><Relationship Type="http://schemas.openxmlformats.org/officeDocument/2006/relationships/footer" Target="/word/footer1.xml" Id="R5c452a90751b4755" /></Relationships>
</file>