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8f8fb364e4fc9" /></Relationships>
</file>

<file path=word/document.xml><?xml version="1.0" encoding="utf-8"?>
<w:document xmlns:w="http://schemas.openxmlformats.org/wordprocessingml/2006/main">
  <w:body>
    <w:p>
      <w:r>
        <w:t>Z-0420.2</w:t>
      </w:r>
    </w:p>
    <w:p>
      <w:pPr>
        <w:jc w:val="center"/>
      </w:pPr>
      <w:r>
        <w:t>_______________________________________________</w:t>
      </w:r>
    </w:p>
    <w:p/>
    <w:p>
      <w:pPr>
        <w:jc w:val="center"/>
      </w:pPr>
      <w:r>
        <w:rPr>
          <w:b/>
        </w:rPr>
        <w:t>SENATE BILL 5774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Gildon, Hunt, and Lovick; by request of Secretary of State</w:t>
      </w:r>
    </w:p>
    <w:p/>
    <w:p>
      <w:r>
        <w:rPr>
          <w:t xml:space="preserve">Read first time 01/11/22.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work group to study and make recommendations on a monument to honor residents who died in the global war on terror;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is established to study and make recommendations on a monument on the capitol campus to honor service members who died in the global war on terror. The work group membership shall be composed of:</w:t>
      </w:r>
    </w:p>
    <w:p>
      <w:pPr>
        <w:spacing w:before="0" w:after="0" w:line="408" w:lineRule="exact"/>
        <w:ind w:left="0" w:right="0" w:firstLine="576"/>
        <w:jc w:val="left"/>
      </w:pPr>
      <w:r>
        <w:rPr/>
        <w:t xml:space="preserve">(i) The secretary of state or his or her designee;</w:t>
      </w:r>
    </w:p>
    <w:p>
      <w:pPr>
        <w:spacing w:before="0" w:after="0" w:line="408" w:lineRule="exact"/>
        <w:ind w:left="0" w:right="0" w:firstLine="576"/>
        <w:jc w:val="left"/>
      </w:pPr>
      <w:r>
        <w:rPr/>
        <w:t xml:space="preserve">(ii) One member from each of the four major caucuses of the legislature;</w:t>
      </w:r>
    </w:p>
    <w:p>
      <w:pPr>
        <w:spacing w:before="0" w:after="0" w:line="408" w:lineRule="exact"/>
        <w:ind w:left="0" w:right="0" w:firstLine="576"/>
        <w:jc w:val="left"/>
      </w:pPr>
      <w:r>
        <w:rPr/>
        <w:t xml:space="preserve">(iii) The director of the department of veterans affairs or his or her designee;</w:t>
      </w:r>
    </w:p>
    <w:p>
      <w:pPr>
        <w:spacing w:before="0" w:after="0" w:line="408" w:lineRule="exact"/>
        <w:ind w:left="0" w:right="0" w:firstLine="576"/>
        <w:jc w:val="left"/>
      </w:pPr>
      <w:r>
        <w:rPr/>
        <w:t xml:space="preserve">(iv) The director of the Washington state parks and recreation commission or his or her designee;</w:t>
      </w:r>
    </w:p>
    <w:p>
      <w:pPr>
        <w:spacing w:before="0" w:after="0" w:line="408" w:lineRule="exact"/>
        <w:ind w:left="0" w:right="0" w:firstLine="576"/>
        <w:jc w:val="left"/>
      </w:pPr>
      <w:r>
        <w:rPr/>
        <w:t xml:space="preserve">(v) The director of the department of enterprise services or his or her designee;</w:t>
      </w:r>
    </w:p>
    <w:p>
      <w:pPr>
        <w:spacing w:before="0" w:after="0" w:line="408" w:lineRule="exact"/>
        <w:ind w:left="0" w:right="0" w:firstLine="576"/>
        <w:jc w:val="left"/>
      </w:pPr>
      <w:r>
        <w:rPr/>
        <w:t xml:space="preserve">(vi) The director of the Washington state military department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secretary of state.</w:t>
      </w:r>
    </w:p>
    <w:p>
      <w:pPr>
        <w:spacing w:before="0" w:after="0" w:line="408" w:lineRule="exact"/>
        <w:ind w:left="0" w:right="0" w:firstLine="576"/>
        <w:jc w:val="left"/>
      </w:pPr>
      <w:r>
        <w:rPr/>
        <w:t xml:space="preserve">(b) The work group shall choose two cochairs from among its membership. The legislative membership shall convene the initial meeting of the work group before July 15, 2022.</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Provide the names of the recommended individuals to be honored at the memorial;</w:t>
      </w:r>
    </w:p>
    <w:p>
      <w:pPr>
        <w:spacing w:before="0" w:after="0" w:line="408" w:lineRule="exact"/>
        <w:ind w:left="0" w:right="0" w:firstLine="576"/>
        <w:jc w:val="left"/>
      </w:pPr>
      <w:r>
        <w:rPr/>
        <w:t xml:space="preserve">(b)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(c) Provide potential draft designs that could be used for the memorial;</w:t>
      </w:r>
    </w:p>
    <w:p>
      <w:pPr>
        <w:spacing w:before="0" w:after="0" w:line="408" w:lineRule="exact"/>
        <w:ind w:left="0" w:right="0" w:firstLine="576"/>
        <w:jc w:val="left"/>
      </w:pPr>
      <w:r>
        <w:rPr/>
        <w:t xml:space="preserve">(d) Provide information regarding the anticipated funding needed for:</w:t>
      </w:r>
    </w:p>
    <w:p>
      <w:pPr>
        <w:spacing w:before="0" w:after="0" w:line="408" w:lineRule="exact"/>
        <w:ind w:left="0" w:right="0" w:firstLine="576"/>
        <w:jc w:val="left"/>
      </w:pPr>
      <w:r>
        <w:rPr/>
        <w:t xml:space="preserve">(i) The design, construction, and placement of the memorial;</w:t>
      </w:r>
    </w:p>
    <w:p>
      <w:pPr>
        <w:spacing w:before="0" w:after="0" w:line="408" w:lineRule="exact"/>
        <w:ind w:left="0" w:right="0" w:firstLine="576"/>
        <w:jc w:val="left"/>
      </w:pPr>
      <w:r>
        <w:rPr/>
        <w:t xml:space="preserve">(ii) Any permits that may be required;</w:t>
      </w:r>
    </w:p>
    <w:p>
      <w:pPr>
        <w:spacing w:before="0" w:after="0" w:line="408" w:lineRule="exact"/>
        <w:ind w:left="0" w:right="0" w:firstLine="576"/>
        <w:jc w:val="left"/>
      </w:pPr>
      <w:r>
        <w:rPr/>
        <w:t xml:space="preserve">(iii)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(iv) An unveiling ceremony or other expenses that may be necessary for the memorial;</w:t>
      </w:r>
    </w:p>
    <w:p>
      <w:pPr>
        <w:spacing w:before="0" w:after="0" w:line="408" w:lineRule="exact"/>
        <w:ind w:left="0" w:right="0" w:firstLine="576"/>
        <w:jc w:val="left"/>
      </w:pPr>
      <w:r>
        <w:rPr/>
        <w:t xml:space="preserve">(e)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(f)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(3) Staff support for the work group must be provided by the senate committee services, the house of representatives office of program research, and staff of the office of the secretary of state.</w:t>
      </w:r>
    </w:p>
    <w:p>
      <w:pPr>
        <w:spacing w:before="0" w:after="0" w:line="408" w:lineRule="exact"/>
        <w:ind w:left="0" w:right="0" w:firstLine="576"/>
        <w:jc w:val="left"/>
      </w:pPr>
      <w:r>
        <w:rPr/>
        <w:t xml:space="preserve">(4)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(5) The work group shall submit a report of its recommendations to the appropriate committees of the legislature in accordance with RCW 43.01.036 by November 1, 2023.</w:t>
      </w:r>
    </w:p>
    <w:p>
      <w:pPr>
        <w:spacing w:before="0" w:after="0" w:line="408" w:lineRule="exact"/>
        <w:ind w:left="0" w:right="0" w:firstLine="576"/>
        <w:jc w:val="left"/>
      </w:pPr>
      <w:r>
        <w:rPr/>
        <w:t xml:space="preserve">(6) This section expires November 1, 2024.</w:t>
      </w:r>
    </w:p>
    <w:p/>
    <w:p>
      <w:pPr>
        <w:jc w:val="center"/>
      </w:pPr>
      <w:r>
        <w:rPr>
          <w:b/>
        </w:rPr>
        <w:t>--- END ---</w:t>
      </w:r>
    </w:p>
    <w:sectPr>
      <w:pgNumType w:start="1"/>
      <w:footerReference xmlns:r="http://schemas.openxmlformats.org/officeDocument/2006/relationships" r:id="R53fcd3a903bc47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f4c825f854036" /><Relationship Type="http://schemas.openxmlformats.org/officeDocument/2006/relationships/footer" Target="/word/footer1.xml" Id="R53fcd3a903bc4716" /></Relationships>
</file>