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5921dc3a54470" /></Relationships>
</file>

<file path=word/document.xml><?xml version="1.0" encoding="utf-8"?>
<w:document xmlns:w="http://schemas.openxmlformats.org/wordprocessingml/2006/main">
  <w:body>
    <w:p>
      <w:r>
        <w:t>S-3463.1</w:t>
      </w:r>
    </w:p>
    <w:p>
      <w:pPr>
        <w:jc w:val="center"/>
      </w:pPr>
      <w:r>
        <w:t>_______________________________________________</w:t>
      </w:r>
    </w:p>
    <w:p/>
    <w:p>
      <w:pPr>
        <w:jc w:val="center"/>
      </w:pPr>
      <w:r>
        <w:rPr>
          <w:b/>
        </w:rPr>
        <w:t>SENATE BILL 5818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Liias, Kuderer, Saldaña, and Short</w:t>
      </w:r>
    </w:p>
    <w:p/>
    <w:p>
      <w:r>
        <w:rPr>
          <w:t xml:space="preserve">Read first time 01/11/22.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construction in cities through amendments to and limiting appeals under the state environmental policy act and growth management act; amending RCW 36.70A.600, 36.70A.070, 43.21C.495, 43.21C.501, and 4.84.370;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w:t>
      </w:r>
      <w:r>
        <w:t>((</w:t>
      </w:r>
      <w:r>
        <w:rPr>
          <w:strike/>
        </w:rPr>
        <w:t xml:space="preserve">If adopted by April 1, 2023,</w:t>
      </w:r>
      <w:r>
        <w:t>))</w:t>
      </w:r>
      <w:r>
        <w:rPr/>
        <w:t xml:space="preserve"> </w:t>
      </w:r>
      <w:r>
        <w:rPr>
          <w:u w:val="single"/>
        </w:rPr>
        <w:t xml:space="preserve">The adoption of</w:t>
      </w:r>
      <w:r>
        <w:rPr/>
        <w:t xml:space="preserve"> ordinances, amendments to development regulations, and other nonproject actions taken by a city to implement the actions specified in subsection (1) of this section, with the exception of the action specified in subsection (1)(f) of this section, </w:t>
      </w:r>
      <w:r>
        <w:rPr>
          <w:u w:val="single"/>
        </w:rPr>
        <w:t xml:space="preserve">or to implement strategies adopted within a housing action plan under subsection (2) of this section,</w:t>
      </w:r>
      <w:r>
        <w:rPr/>
        <w:t xml:space="preserve"> are not subject to </w:t>
      </w:r>
      <w:r>
        <w:rPr>
          <w:u w:val="single"/>
        </w:rPr>
        <w:t xml:space="preserve">environmental or judicial review or</w:t>
      </w:r>
      <w:r>
        <w:rPr/>
        <w:t xml:space="preserve"> administrative or judicial appeal under chapter 43.21C RCW.</w:t>
      </w:r>
    </w:p>
    <w:p>
      <w:pPr>
        <w:spacing w:before="0" w:after="0" w:line="408" w:lineRule="exact"/>
        <w:ind w:left="0" w:right="0" w:firstLine="576"/>
        <w:jc w:val="left"/>
      </w:pPr>
      <w:r>
        <w:rPr/>
        <w:t xml:space="preserve">(4) Any action taken by a city </w:t>
      </w:r>
      <w:r>
        <w:t>((</w:t>
      </w:r>
      <w:r>
        <w:rPr>
          <w:strike/>
        </w:rPr>
        <w:t xml:space="preserve">prior to April 1, 2023,</w:t>
      </w:r>
      <w:r>
        <w:t>))</w:t>
      </w:r>
      <w:r>
        <w:rPr/>
        <w:t xml:space="preserve"> to amend </w:t>
      </w:r>
      <w:r>
        <w:t>((</w:t>
      </w:r>
      <w:r>
        <w:rPr>
          <w:strike/>
        </w:rPr>
        <w:t xml:space="preserve">their</w:t>
      </w:r>
      <w:r>
        <w:t>))</w:t>
      </w:r>
      <w:r>
        <w:rPr/>
        <w:t xml:space="preserve"> </w:t>
      </w:r>
      <w:r>
        <w:rPr>
          <w:u w:val="single"/>
        </w:rPr>
        <w:t xml:space="preserve">its</w:t>
      </w:r>
      <w:r>
        <w:rPr/>
        <w:t xml:space="preserve"> comprehensive plan</w:t>
      </w:r>
      <w:r>
        <w:t>((</w:t>
      </w:r>
      <w:r>
        <w:rPr>
          <w:strike/>
        </w:rPr>
        <w:t xml:space="preserve">,</w:t>
      </w:r>
      <w:r>
        <w:t>))</w:t>
      </w:r>
      <w:r>
        <w:rPr/>
        <w:t xml:space="preserve"> or adopt or amend ordinances or development regulations, solely to enact provisions under subsection (1) of this section </w:t>
      </w:r>
      <w:r>
        <w:rPr>
          <w:u w:val="single"/>
        </w:rPr>
        <w:t xml:space="preserve">or to implement strategies adopted within a housing action plan under subsection (2) of this section,</w:t>
      </w:r>
      <w:r>
        <w:rPr/>
        <w:t xml:space="preserve"> is not subject to </w:t>
      </w:r>
      <w:r>
        <w:rPr>
          <w:u w:val="single"/>
        </w:rPr>
        <w:t xml:space="preserve">review or</w:t>
      </w:r>
      <w:r>
        <w:rPr/>
        <w:t xml:space="preserve">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u w:val="single"/>
        </w:rPr>
        <w:t xml:space="preserve">The adoption of ordinances and amendments to development regulations taken by a city that is required or chooses to plan under RCW 36.70A.040 to implement the actions specified in this subsection (2) are not subject to environmental or judicial review or administrative or judicial appeal under chapter 43.21C RCW.</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t>((</w:t>
      </w:r>
      <w:r>
        <w:rPr>
          <w:strike/>
        </w:rPr>
        <w:t xml:space="preserve">If adopted by April 1, 2023, amendments</w:t>
      </w:r>
      <w:r>
        <w:t>))</w:t>
      </w:r>
      <w:r>
        <w:rPr/>
        <w:t xml:space="preserve"> </w:t>
      </w:r>
      <w:r>
        <w:rPr>
          <w:u w:val="single"/>
        </w:rPr>
        <w:t xml:space="preserve">Amendments</w:t>
      </w:r>
      <w:r>
        <w:rPr/>
        <w:t xml:space="preserve"> to development regulations and other nonproject actions taken by a city to implement</w:t>
      </w:r>
      <w:r>
        <w:rPr>
          <w:u w:val="single"/>
        </w:rPr>
        <w:t xml:space="preserve">: RCW 36.70A.070(2);</w:t>
      </w:r>
      <w:r>
        <w:rPr/>
        <w:t xml:space="preserve"> RCW 36.70A.600 (1) or (4), with the exception of the action specified in RCW 36.70A.600(1)(f)</w:t>
      </w:r>
      <w:r>
        <w:rPr>
          <w:u w:val="single"/>
        </w:rPr>
        <w:t xml:space="preserve">; and strategies adopted within a housing action plan under RCW 36.70A.600(2)</w:t>
      </w:r>
      <w:r>
        <w:rPr/>
        <w:t xml:space="preserve">, are not subject to </w:t>
      </w:r>
      <w:r>
        <w:rPr>
          <w:u w:val="single"/>
        </w:rPr>
        <w:t xml:space="preserve">environmental or judicial review or</w:t>
      </w:r>
      <w:r>
        <w:rPr/>
        <w:t xml:space="preserve">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501</w:t>
      </w:r>
      <w:r>
        <w:rPr/>
        <w:t xml:space="preserve"> and 2019 c 348 s 6 are each amended to read as follows:</w:t>
      </w:r>
    </w:p>
    <w:p>
      <w:pPr>
        <w:spacing w:before="0" w:after="0" w:line="408" w:lineRule="exact"/>
        <w:ind w:left="0" w:right="0" w:firstLine="576"/>
        <w:jc w:val="left"/>
      </w:pPr>
      <w:r>
        <w:rPr/>
        <w:t xml:space="preserve">(1) </w:t>
      </w: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(2) and (3) of this section, are met.</w:t>
      </w:r>
    </w:p>
    <w:p>
      <w:pPr>
        <w:spacing w:before="0" w:after="0" w:line="408" w:lineRule="exact"/>
        <w:ind w:left="0" w:right="0" w:firstLine="576"/>
        <w:jc w:val="left"/>
      </w:pPr>
      <w:r>
        <w:rPr>
          <w:u w:val="single"/>
        </w:rPr>
        <w:t xml:space="preserve">(2)(a) 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w:t>
      </w:r>
      <w:r>
        <w:t>((</w:t>
      </w:r>
      <w:r>
        <w:rPr>
          <w:strike/>
        </w:rPr>
        <w:t xml:space="preserve">the project does not present significant adverse impacts to the state-owned transportation system as determined by the department of transportation and</w:t>
      </w:r>
      <w:r>
        <w:t>))</w:t>
      </w:r>
      <w:r>
        <w:rPr/>
        <w:t xml:space="preserve"> the project is:</w:t>
      </w:r>
    </w:p>
    <w:p>
      <w:pPr>
        <w:spacing w:before="0" w:after="0" w:line="408" w:lineRule="exact"/>
        <w:ind w:left="0" w:right="0" w:firstLine="576"/>
        <w:jc w:val="left"/>
      </w:pPr>
      <w:r>
        <w:t>((</w:t>
      </w:r>
      <w:r>
        <w:rPr>
          <w:strike/>
        </w:rPr>
        <w:t xml:space="preserve">(a)(i)</w:t>
      </w:r>
      <w:r>
        <w:t>))</w:t>
      </w:r>
      <w:r>
        <w:rPr/>
        <w:t xml:space="preserve"> </w:t>
      </w:r>
      <w:r>
        <w:rPr>
          <w:u w:val="single"/>
        </w:rPr>
        <w:t xml:space="preserve">(i)(A)</w:t>
      </w:r>
      <w:r>
        <w:rPr/>
        <w:t xml:space="preserve"> Consistent with a locally adopted transportation plan;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Consistent with the transportation element of a comprehensive plan;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A project for which traffic or parking impact fees are imposed pursuant to RCW 82.02.050 through 82.02.090;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project for which traffic or parking impacts are </w:t>
      </w:r>
      <w:r>
        <w:t>((</w:t>
      </w:r>
      <w:r>
        <w:rPr>
          <w:strike/>
        </w:rPr>
        <w:t xml:space="preserve">expressly</w:t>
      </w:r>
      <w:r>
        <w:t>))</w:t>
      </w:r>
      <w:r>
        <w:rPr/>
        <w:t xml:space="preserve"> mitigated by an ordinance, or ordinances, of general application adopted by the city or town.</w:t>
      </w:r>
    </w:p>
    <w:p>
      <w:pPr>
        <w:spacing w:before="0" w:after="0" w:line="408" w:lineRule="exact"/>
        <w:ind w:left="0" w:right="0" w:firstLine="576"/>
        <w:jc w:val="left"/>
      </w:pPr>
      <w:r>
        <w:t>((</w:t>
      </w:r>
      <w:r>
        <w:rPr>
          <w:strike/>
        </w:rPr>
        <w:t xml:space="preserve">(2)</w:t>
      </w:r>
      <w:r>
        <w:t>))</w:t>
      </w:r>
      <w:r>
        <w:rPr/>
        <w:t xml:space="preserve"> </w:t>
      </w:r>
      <w:r>
        <w:rPr>
          <w:u w:val="single"/>
        </w:rPr>
        <w:t xml:space="preserve">(b) The exemption under this subsection (2) does not apply if the department of transportation has found that the project will present significant adverse impacts to the state-owned transportation system.</w:t>
      </w:r>
    </w:p>
    <w:p>
      <w:pPr>
        <w:spacing w:before="0" w:after="0" w:line="408" w:lineRule="exact"/>
        <w:ind w:left="0" w:right="0" w:firstLine="576"/>
        <w:jc w:val="left"/>
      </w:pPr>
      <w:r>
        <w:rPr>
          <w:u w:val="single"/>
        </w:rPr>
        <w:t xml:space="preserve">(3) 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 For purposes of this subsection,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(4)</w:t>
      </w:r>
      <w:r>
        <w:rPr/>
        <w:t xml:space="preserve">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rule-based categorical exemption thresholds to chapter 43.21C RCW, found in WAC 197-11-800, have not been updated in recent years, and should be modified in light of the increased environmental protections in place under chapters 36.70A and 90.58 RCW, the current affordable housing crisis, and other laws. It is the intent of the legislature to direct the department of ecology to conduct expedited rule making to modify the thresholds for the categorical exemptions described under subsection (2) of this section.</w:t>
      </w:r>
    </w:p>
    <w:p>
      <w:pPr>
        <w:spacing w:before="0" w:after="0" w:line="408" w:lineRule="exact"/>
        <w:ind w:left="0" w:right="0" w:firstLine="576"/>
        <w:jc w:val="left"/>
      </w:pPr>
      <w:r>
        <w:rPr/>
        <w:t xml:space="preserve">(2) By December 31, 2022, the department of ecology shall modify the rule-based categorical exemptions to chapter 43.21C RCW found in WAC 197-11-800 as follows:</w:t>
      </w:r>
    </w:p>
    <w:p>
      <w:pPr>
        <w:spacing w:before="0" w:after="0" w:line="408" w:lineRule="exact"/>
        <w:ind w:left="0" w:right="0" w:firstLine="576"/>
        <w:jc w:val="left"/>
      </w:pPr>
      <w:r>
        <w:rPr/>
        <w:t xml:space="preserve">(a) Include four attached single-family residential units to the current exemption under WAC 197-11-800(1)(b)(i);</w:t>
      </w:r>
    </w:p>
    <w:p>
      <w:pPr>
        <w:spacing w:before="0" w:after="0" w:line="408" w:lineRule="exact"/>
        <w:ind w:left="0" w:right="0" w:firstLine="576"/>
        <w:jc w:val="left"/>
      </w:pPr>
      <w:r>
        <w:rPr/>
        <w:t xml:space="preserve">(b) Create a new exemption level under WAC 197-11-800(1)(d) for single-family residential project types with a total square footage of fewer than 1,500 square feet in incorporated urban growth areas of at least 100 units;</w:t>
      </w:r>
    </w:p>
    <w:p>
      <w:pPr>
        <w:spacing w:before="0" w:after="0" w:line="408" w:lineRule="exact"/>
        <w:ind w:left="0" w:right="0" w:firstLine="576"/>
        <w:jc w:val="left"/>
      </w:pPr>
      <w:r>
        <w:rPr/>
        <w:t xml:space="preserve">(c) Apply the existing exemption level under WAC 197-11-800(1)(d) for single-family residential project types in incorporated urban growth areas to single-family residential types with a total square footage of 1,500 square feet or more in incorporated urban growth areas; and</w:t>
      </w:r>
    </w:p>
    <w:p>
      <w:pPr>
        <w:spacing w:before="0" w:after="0" w:line="408" w:lineRule="exact"/>
        <w:ind w:left="0" w:right="0" w:firstLine="576"/>
        <w:jc w:val="left"/>
      </w:pPr>
      <w:r>
        <w:rPr/>
        <w:t xml:space="preserve">(d) Increase the exemption level under WAC 197-11-800(1)(d) for multifamily residential project types in incorporated urban growth areas from 60 units to 200 units.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370</w:t>
      </w:r>
      <w:r>
        <w:rPr/>
        <w:t xml:space="preserve"> and 1995 c 347 s 718 are each amended to read as follows:</w:t>
      </w:r>
    </w:p>
    <w:p>
      <w:pPr>
        <w:spacing w:before="0" w:after="0" w:line="408" w:lineRule="exact"/>
        <w:ind w:left="0" w:right="0" w:firstLine="576"/>
        <w:jc w:val="left"/>
      </w:pPr>
      <w:r>
        <w:rPr/>
        <w:t xml:space="preserve">(1) Notwithstanding any other provisions of this chapter, reasonable attorneys' fees and costs shall be awarded to the prevailing party or substantially prevailing party on appeal before the court of appeals or the supreme court of a decision by a county, city, or town to issue, condition, or deny a development permit involving a site-specific rezone, zoning, plat, conditional use, variance, shoreline permit, building permit, site plan, or similar land use approval or decision. The court shall award and determine the amount of reasonable attorneys' fees and costs under this section if:</w:t>
      </w:r>
    </w:p>
    <w:p>
      <w:pPr>
        <w:spacing w:before="0" w:after="0" w:line="408" w:lineRule="exact"/>
        <w:ind w:left="0" w:right="0" w:firstLine="576"/>
        <w:jc w:val="left"/>
      </w:pPr>
      <w:r>
        <w:rPr/>
        <w:t xml:space="preserve">(a) The prevailing party on appeal was the prevailing or substantially prevailing party before the county, city, or town, </w:t>
      </w:r>
      <w:r>
        <w:t>((</w:t>
      </w:r>
      <w:r>
        <w:rPr>
          <w:strike/>
        </w:rPr>
        <w:t xml:space="preserve">or</w:t>
      </w:r>
      <w:r>
        <w:t>))</w:t>
      </w:r>
      <w:r>
        <w:rPr/>
        <w:t xml:space="preserve"> in a decision involving a substantial development permit under chapter 90.58 RCW</w:t>
      </w:r>
      <w:r>
        <w:t>((</w:t>
      </w:r>
      <w:r>
        <w:rPr>
          <w:strike/>
        </w:rPr>
        <w:t xml:space="preserve">,</w:t>
      </w:r>
      <w:r>
        <w:t>))</w:t>
      </w:r>
      <w:r>
        <w:rPr/>
        <w:t xml:space="preserve"> </w:t>
      </w:r>
      <w:r>
        <w:rPr>
          <w:u w:val="single"/>
        </w:rPr>
        <w:t xml:space="preserve">or</w:t>
      </w:r>
      <w:r>
        <w:rPr/>
        <w:t xml:space="preserve"> the prevailing party on appeal was the prevailing party or the substantially prevailing party before the </w:t>
      </w:r>
      <w:r>
        <w:t>((</w:t>
      </w:r>
      <w:r>
        <w:rPr>
          <w:strike/>
        </w:rPr>
        <w:t xml:space="preserve">shoreline[s]</w:t>
      </w:r>
      <w:r>
        <w:t>))</w:t>
      </w:r>
      <w:r>
        <w:rPr/>
        <w:t xml:space="preserve"> </w:t>
      </w:r>
      <w:r>
        <w:rPr>
          <w:u w:val="single"/>
        </w:rPr>
        <w:t xml:space="preserve">shorelines</w:t>
      </w:r>
      <w:r>
        <w:rPr/>
        <w:t xml:space="preserve"> hearings board; and</w:t>
      </w:r>
    </w:p>
    <w:p>
      <w:pPr>
        <w:spacing w:before="0" w:after="0" w:line="408" w:lineRule="exact"/>
        <w:ind w:left="0" w:right="0" w:firstLine="576"/>
        <w:jc w:val="left"/>
      </w:pPr>
      <w:r>
        <w:rPr/>
        <w:t xml:space="preserve">(b) The prevailing party on appeal was the prevailing party or substantially prevailing party in all prior judicial proceedings.</w:t>
      </w:r>
    </w:p>
    <w:p>
      <w:pPr>
        <w:spacing w:before="0" w:after="0" w:line="408" w:lineRule="exact"/>
        <w:ind w:left="0" w:right="0" w:firstLine="576"/>
        <w:jc w:val="left"/>
      </w:pPr>
      <w:r>
        <w:rPr/>
        <w:t xml:space="preserve">(2) In addition to the prevailing party under subsection (1) of this section, the county, city, or town whose decision is on appeal is considered a prevailing party if its decision is upheld at superior court and on appeal.</w:t>
      </w:r>
    </w:p>
    <w:p>
      <w:pPr>
        <w:spacing w:before="0" w:after="0" w:line="408" w:lineRule="exact"/>
        <w:ind w:left="0" w:right="0" w:firstLine="576"/>
        <w:jc w:val="left"/>
      </w:pPr>
      <w:r>
        <w:rPr>
          <w:u w:val="single"/>
        </w:rPr>
        <w:t xml:space="preserve">(3) Reasonable attorneys' fees shall be awarded to the prevailing party or substantially prevailing party at trial or on appeal before the court of appeals or the supreme court of a decision by a county, city, or town to issue, condition, or deny a development permit involving a project-specific affordable housing development.</w:t>
      </w:r>
    </w:p>
    <w:p/>
    <w:p>
      <w:pPr>
        <w:jc w:val="center"/>
      </w:pPr>
      <w:r>
        <w:rPr>
          <w:b/>
        </w:rPr>
        <w:t>--- END ---</w:t>
      </w:r>
    </w:p>
    <w:sectPr>
      <w:pgNumType w:start="1"/>
      <w:footerReference xmlns:r="http://schemas.openxmlformats.org/officeDocument/2006/relationships" r:id="R1f4b58ab3ca741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fea958d764282" /><Relationship Type="http://schemas.openxmlformats.org/officeDocument/2006/relationships/footer" Target="/word/footer1.xml" Id="R1f4b58ab3ca7415a" /></Relationships>
</file>