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5b561c9924604" /></Relationships>
</file>

<file path=word/document.xml><?xml version="1.0" encoding="utf-8"?>
<w:document xmlns:w="http://schemas.openxmlformats.org/wordprocessingml/2006/main">
  <w:body>
    <w:p>
      <w:r>
        <w:t>S-3531.1</w:t>
      </w:r>
    </w:p>
    <w:p>
      <w:pPr>
        <w:jc w:val="center"/>
      </w:pPr>
      <w:r>
        <w:t>_______________________________________________</w:t>
      </w:r>
    </w:p>
    <w:p/>
    <w:p>
      <w:pPr>
        <w:jc w:val="center"/>
      </w:pPr>
      <w:r>
        <w:rPr>
          <w:b/>
        </w:rPr>
        <w:t>SENATE BILL 5832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Fortunato, Dhingra, Keiser, Kuderer, Lovelett, Nobles, Salomon, Wagoner, and C. Wilson</w:t>
      </w:r>
    </w:p>
    <w:p/>
    <w:p>
      <w:r>
        <w:rPr>
          <w:t xml:space="preserve">Read first time 01/12/22.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multifamily tax exemption program to include converting existing multifamily units; and amending RCW 84.14.010 and 84.14.020.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w:t>
      </w:r>
      <w:r>
        <w:t>((</w:t>
      </w:r>
      <w:r>
        <w:rPr>
          <w:strike/>
        </w:rPr>
        <w:t xml:space="preserve">thirty</w:t>
      </w:r>
      <w:r>
        <w:t>))</w:t>
      </w:r>
      <w:r>
        <w:rPr/>
        <w:t xml:space="preserve"> </w:t>
      </w:r>
      <w:r>
        <w:rPr>
          <w:u w:val="single"/>
        </w:rPr>
        <w:t xml:space="preserve">30</w:t>
      </w:r>
      <w:r>
        <w:rPr/>
        <w:t xml:space="preserve">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w:t>
      </w:r>
      <w:r>
        <w:t>((</w:t>
      </w:r>
      <w:r>
        <w:rPr>
          <w:strike/>
        </w:rPr>
        <w:t xml:space="preserve">fifteen thousand</w:t>
      </w:r>
      <w:r>
        <w:t>))</w:t>
      </w:r>
      <w:r>
        <w:rPr/>
        <w:t xml:space="preserve"> </w:t>
      </w:r>
      <w:r>
        <w:rPr>
          <w:u w:val="single"/>
        </w:rPr>
        <w:t xml:space="preserve">15,000</w:t>
      </w:r>
      <w:r>
        <w:rPr/>
        <w:t xml:space="preserve">, (b) the largest city or town, if there is no city or town with a population of at least </w:t>
      </w:r>
      <w:r>
        <w:t>((</w:t>
      </w:r>
      <w:r>
        <w:rPr>
          <w:strike/>
        </w:rPr>
        <w:t xml:space="preserve">fifteen thousand</w:t>
      </w:r>
      <w:r>
        <w:t>))</w:t>
      </w:r>
      <w:r>
        <w:rPr/>
        <w:t xml:space="preserve"> </w:t>
      </w:r>
      <w:r>
        <w:rPr>
          <w:u w:val="single"/>
        </w:rPr>
        <w:t xml:space="preserve">15,000</w:t>
      </w:r>
      <w:r>
        <w:rPr/>
        <w:t xml:space="preserve">, located in a county planning under the growth management act, (c) a city or town with a population of at least </w:t>
      </w:r>
      <w:r>
        <w:t>((</w:t>
      </w:r>
      <w:r>
        <w:rPr>
          <w:strike/>
        </w:rPr>
        <w:t xml:space="preserve">five thousand</w:t>
      </w:r>
      <w:r>
        <w:t>))</w:t>
      </w:r>
      <w:r>
        <w:rPr/>
        <w:t xml:space="preserve"> </w:t>
      </w:r>
      <w:r>
        <w:rPr>
          <w:u w:val="single"/>
        </w:rPr>
        <w:t xml:space="preserve">5,000</w:t>
      </w:r>
      <w:r>
        <w:rPr/>
        <w:t xml:space="preserve">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rehabilitation or conversion of vacant, underutilized, or substandard buildings to multifamily housing or replacing market rate housing in existing multiple unit housing facilities with affordable housing units.</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w:t>
      </w:r>
      <w:r>
        <w:t>((</w:t>
      </w:r>
      <w:r>
        <w:rPr>
          <w:strike/>
        </w:rPr>
        <w:t xml:space="preserve">eighty</w:t>
      </w:r>
      <w:r>
        <w:t>))</w:t>
      </w:r>
      <w:r>
        <w:rPr/>
        <w:t xml:space="preserve"> </w:t>
      </w:r>
      <w:r>
        <w:rPr>
          <w:u w:val="single"/>
        </w:rPr>
        <w:t xml:space="preserve">80</w:t>
      </w:r>
      <w:r>
        <w:rPr/>
        <w:t xml:space="preserve"> percent but is at or below </w:t>
      </w:r>
      <w:r>
        <w:t>((</w:t>
      </w:r>
      <w:r>
        <w:rPr>
          <w:strike/>
        </w:rPr>
        <w:t xml:space="preserve">one hundred fifteen</w:t>
      </w:r>
      <w:r>
        <w:t>))</w:t>
      </w:r>
      <w:r>
        <w:rPr/>
        <w:t xml:space="preserve"> </w:t>
      </w:r>
      <w:r>
        <w:rPr>
          <w:u w:val="single"/>
        </w:rPr>
        <w:t xml:space="preserve">115</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w:t>
      </w:r>
      <w:r>
        <w:t>((</w:t>
      </w:r>
      <w:r>
        <w:rPr>
          <w:strike/>
        </w:rPr>
        <w:t xml:space="preserve">or</w:t>
      </w:r>
      <w:r>
        <w:t>))</w:t>
      </w:r>
      <w:r>
        <w:rPr>
          <w:u w:val="single"/>
        </w:rPr>
        <w:t xml:space="preserve">,</w:t>
      </w:r>
      <w:r>
        <w:rPr/>
        <w:t xml:space="preserve"> rehabilitated</w:t>
      </w:r>
      <w:r>
        <w:rPr>
          <w:u w:val="single"/>
        </w:rPr>
        <w:t xml:space="preserve">,</w:t>
      </w:r>
      <w:r>
        <w:rPr/>
        <w:t xml:space="preserve"> or conversion of vacant, underutilized, or substandard buildings to multifamily housing</w:t>
      </w:r>
      <w:r>
        <w:rPr>
          <w:u w:val="single"/>
        </w:rPr>
        <w:t xml:space="preserve">, or converting market rate units in existing buildings to affordable housing units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w:t>
      </w:r>
      <w:r>
        <w:t>((</w:t>
      </w:r>
      <w:r>
        <w:rPr>
          <w:strike/>
        </w:rPr>
        <w:t xml:space="preserve">twelve</w:t>
      </w:r>
      <w:r>
        <w:t>))</w:t>
      </w:r>
      <w:r>
        <w:rPr/>
        <w:t xml:space="preserve"> </w:t>
      </w:r>
      <w:r>
        <w:rPr>
          <w:u w:val="single"/>
        </w:rPr>
        <w:t xml:space="preserve">12</w:t>
      </w:r>
      <w:r>
        <w:rPr/>
        <w:t xml:space="preser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w:t>
      </w:r>
      <w:r>
        <w:t>((</w:t>
      </w:r>
      <w:r>
        <w:rPr>
          <w:strike/>
        </w:rPr>
        <w:t xml:space="preserve">fifty thousand</w:t>
      </w:r>
      <w:r>
        <w:t>))</w:t>
      </w:r>
      <w:r>
        <w:rPr/>
        <w:t xml:space="preserve"> </w:t>
      </w:r>
      <w:r>
        <w:rPr>
          <w:u w:val="single"/>
        </w:rPr>
        <w:t xml:space="preserve">50,000</w:t>
      </w:r>
      <w:r>
        <w:rPr/>
        <w:t xml:space="preserve"> and </w:t>
      </w:r>
      <w:r>
        <w:t>((</w:t>
      </w:r>
      <w:r>
        <w:rPr>
          <w:strike/>
        </w:rPr>
        <w:t xml:space="preserve">seventy-one thousand</w:t>
      </w:r>
      <w:r>
        <w:t>))</w:t>
      </w:r>
      <w:r>
        <w:rPr/>
        <w:t xml:space="preserve"> </w:t>
      </w:r>
      <w:r>
        <w:rPr>
          <w:u w:val="single"/>
        </w:rPr>
        <w:t xml:space="preserve">71,000</w:t>
      </w:r>
      <w:r>
        <w:rPr/>
        <w:t xml:space="preserve">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w:t>
      </w:r>
      <w:r>
        <w:t>((</w:t>
      </w:r>
      <w:r>
        <w:rPr>
          <w:strike/>
        </w:rPr>
        <w:t xml:space="preserve">ten</w:t>
      </w:r>
      <w:r>
        <w:t>))</w:t>
      </w:r>
      <w:r>
        <w:rPr/>
        <w:t xml:space="preserve"> </w:t>
      </w:r>
      <w:r>
        <w:rPr>
          <w:u w:val="single"/>
        </w:rPr>
        <w:t xml:space="preserve">10</w:t>
      </w:r>
      <w:r>
        <w:rPr/>
        <w:t xml:space="preserve"> successive years beginning January 1</w:t>
      </w:r>
      <w:r>
        <w:rPr>
          <w:u w:val="single"/>
        </w:rPr>
        <w:t xml:space="preserve">st</w:t>
      </w:r>
      <w:r>
        <w:rPr/>
        <w:t xml:space="preserve"> of the year immediately following the calendar year of issuance of the certificate;</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w:t>
      </w:r>
    </w:p>
    <w:p>
      <w:pPr>
        <w:spacing w:before="0" w:after="0" w:line="408" w:lineRule="exact"/>
        <w:ind w:left="0" w:right="0" w:firstLine="576"/>
        <w:jc w:val="left"/>
      </w:pPr>
      <w:r>
        <w:rPr/>
        <w:t xml:space="preserve">(B)</w:t>
      </w:r>
      <w:r>
        <w:rPr>
          <w:u w:val="single"/>
        </w:rPr>
        <w:t xml:space="preserve">(I)</w:t>
      </w:r>
      <w:r>
        <w:rPr/>
        <w:t xml:space="preserve"> For </w:t>
      </w:r>
      <w:r>
        <w:t>((</w:t>
      </w:r>
      <w:r>
        <w:rPr>
          <w:strike/>
        </w:rPr>
        <w:t xml:space="preserve">twelve</w:t>
      </w:r>
      <w:r>
        <w:t>))</w:t>
      </w:r>
      <w:r>
        <w:rPr/>
        <w:t xml:space="preserve"> </w:t>
      </w:r>
      <w:r>
        <w:rPr>
          <w:u w:val="single"/>
        </w:rPr>
        <w:t xml:space="preserve">12</w:t>
      </w:r>
      <w:r>
        <w:rPr/>
        <w:t xml:space="preserve"> successive years beginning January 1st of the year immediately following the calendar year of issuance of the certificate, if the property otherwise qualifies for the exemption under this chapter and meets the conditions in this subsection (1)(a)(ii)(B)</w:t>
      </w:r>
      <w:r>
        <w:rPr>
          <w:u w:val="single"/>
        </w:rPr>
        <w:t xml:space="preserve">(I)</w:t>
      </w:r>
      <w:r>
        <w:rPr/>
        <w:t xml:space="preserve">. </w:t>
      </w:r>
      <w:r>
        <w:t>((</w:t>
      </w:r>
      <w:r>
        <w:rPr>
          <w:strike/>
        </w:rPr>
        <w:t xml:space="preserve">For</w:t>
      </w:r>
      <w:r>
        <w:t>))</w:t>
      </w:r>
      <w:r>
        <w:rPr/>
        <w:t xml:space="preserve"> </w:t>
      </w:r>
      <w:r>
        <w:rPr>
          <w:u w:val="single"/>
        </w:rPr>
        <w:t xml:space="preserve">Except as provided in this subsection (1)(a)(ii)(B)(II), for</w:t>
      </w:r>
      <w:r>
        <w:rPr/>
        <w:t xml:space="preserve"> the property to qualify for the </w:t>
      </w:r>
      <w:r>
        <w:t>((</w:t>
      </w:r>
      <w:r>
        <w:rPr>
          <w:strike/>
        </w:rPr>
        <w:t xml:space="preserve">twelve-year</w:t>
      </w:r>
      <w:r>
        <w:t>))</w:t>
      </w:r>
      <w:r>
        <w:rPr/>
        <w:t xml:space="preserve"> </w:t>
      </w:r>
      <w:r>
        <w:rPr>
          <w:u w:val="single"/>
        </w:rPr>
        <w:t xml:space="preserve">12-year</w:t>
      </w:r>
      <w:r>
        <w:rPr/>
        <w:t xml:space="preserve"> exemption under this subsection, the applicant must commit to renting or selling at least </w:t>
      </w:r>
      <w:r>
        <w:t>((</w:t>
      </w:r>
      <w:r>
        <w:rPr>
          <w:strike/>
        </w:rPr>
        <w:t xml:space="preserve">twenty</w:t>
      </w:r>
      <w:r>
        <w:t>))</w:t>
      </w:r>
      <w:r>
        <w:rPr/>
        <w:t xml:space="preserve"> </w:t>
      </w:r>
      <w:r>
        <w:rPr>
          <w:u w:val="single"/>
        </w:rPr>
        <w:t xml:space="preserve">20</w:t>
      </w:r>
      <w:r>
        <w:rPr/>
        <w:t xml:space="preserve">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w:t>
      </w:r>
      <w:r>
        <w:rPr>
          <w:u w:val="single"/>
        </w:rPr>
        <w:t xml:space="preserve">(I)</w:t>
      </w:r>
      <w:r>
        <w:rPr/>
        <w:t xml:space="preserve"> may be satisfied solely through housing affordable to moderate</w:t>
      </w:r>
      <w:r>
        <w:rPr/>
        <w:noBreakHyphen/>
      </w:r>
      <w:r>
        <w:rPr/>
        <w:t xml:space="preserve">income households;</w:t>
      </w:r>
    </w:p>
    <w:p>
      <w:pPr>
        <w:spacing w:before="0" w:after="0" w:line="408" w:lineRule="exact"/>
        <w:ind w:left="0" w:right="0" w:firstLine="576"/>
        <w:jc w:val="left"/>
      </w:pPr>
      <w:r>
        <w:rPr>
          <w:u w:val="single"/>
        </w:rPr>
        <w:t xml:space="preserve">(II) For an existing multiple unit property that is converting existing market rate units to affordable housing to qualify for the 12-year exemption under this subsection, the applicant must commit to renting or selling at least 30 percent of the multifamily housing units as affordable housing units to low and moderate-income households, or the applicant must commit to renting or selling at least 50 percent more multifamily housing units than already required by the local government under this chapter to low and moderate-income households;</w:t>
      </w:r>
      <w:r>
        <w:rPr/>
        <w:t xml:space="preserve"> or</w:t>
      </w:r>
    </w:p>
    <w:p>
      <w:pPr>
        <w:spacing w:before="0" w:after="0" w:line="408" w:lineRule="exact"/>
        <w:ind w:left="0" w:right="0" w:firstLine="576"/>
        <w:jc w:val="left"/>
      </w:pPr>
      <w:r>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July 25, 2021, a mandatory inclusionary zoning requirement for affordable housing that ensures affordability of housing units for a period of at least 99 years and that has a population of no more than 65,000 as measured on July 25, 2021.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p>
    <w:p>
      <w:pPr>
        <w:spacing w:before="0" w:after="0" w:line="408" w:lineRule="exact"/>
        <w:ind w:left="0" w:right="0" w:firstLine="576"/>
        <w:jc w:val="left"/>
      </w:pPr>
      <w:r>
        <w:rPr/>
        <w:t xml:space="preserve">(b) The exemptions provided in (a)(i) through (iii)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w:t>
      </w:r>
      <w:r>
        <w:rPr>
          <w:u w:val="single"/>
        </w:rPr>
        <w:t xml:space="preserve">(I)</w:t>
      </w:r>
      <w:r>
        <w:rPr/>
        <w:t xml:space="preserve">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(1)(a)(ii)(A) or (B) </w:t>
      </w:r>
      <w:r>
        <w:rPr>
          <w:u w:val="single"/>
        </w:rPr>
        <w:t xml:space="preserve">(I) and (II)</w:t>
      </w:r>
      <w:r>
        <w:rPr/>
        <w:t xml:space="preserve">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w:t>
      </w:r>
      <w:r>
        <w:rPr>
          <w:u w:val="single"/>
        </w:rPr>
        <w:t xml:space="preserve">(I)</w:t>
      </w:r>
      <w:r>
        <w:rPr/>
        <w:t xml:space="preserve">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t xml:space="preserve">(7) At the end of both the tenth and eleventh years of an extension, for </w:t>
      </w:r>
      <w:r>
        <w:t>((</w:t>
      </w:r>
      <w:r>
        <w:rPr>
          <w:strike/>
        </w:rPr>
        <w:t xml:space="preserve">twelve-year</w:t>
      </w:r>
      <w:r>
        <w:t>))</w:t>
      </w:r>
      <w:r>
        <w:rPr/>
        <w:t xml:space="preserve"> </w:t>
      </w:r>
      <w:r>
        <w:rPr>
          <w:u w:val="single"/>
        </w:rPr>
        <w:t xml:space="preserve">12-year</w:t>
      </w:r>
      <w:r>
        <w:rPr/>
        <w:t xml:space="preserve">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(1)(a)(ii)(B)</w:t>
      </w:r>
      <w:r>
        <w:rPr>
          <w:u w:val="single"/>
        </w:rPr>
        <w:t xml:space="preserve">(I)</w:t>
      </w:r>
      <w:r>
        <w:rPr/>
        <w:t xml:space="preserve"> or (iii)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(1)(a)(ii)(B)</w:t>
      </w:r>
      <w:r>
        <w:rPr>
          <w:u w:val="single"/>
        </w:rPr>
        <w:t xml:space="preserve">(I)</w:t>
      </w:r>
      <w:r>
        <w:rPr/>
        <w:t xml:space="preserve">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No new exemptions may be provided under this section beginning on or after January 1, 2032. No extensions may be granted under subsection (6) of this section on or after January 1, 2046.</w:t>
      </w:r>
    </w:p>
    <w:p/>
    <w:p>
      <w:pPr>
        <w:jc w:val="center"/>
      </w:pPr>
      <w:r>
        <w:rPr>
          <w:b/>
        </w:rPr>
        <w:t>--- END ---</w:t>
      </w:r>
    </w:p>
    <w:sectPr>
      <w:pgNumType w:start="1"/>
      <w:footerReference xmlns:r="http://schemas.openxmlformats.org/officeDocument/2006/relationships" r:id="R21fb99d9d02341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0c833c6b74f40" /><Relationship Type="http://schemas.openxmlformats.org/officeDocument/2006/relationships/footer" Target="/word/footer1.xml" Id="R21fb99d9d02341e5" /></Relationships>
</file>