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914b8f10a84f7a" /></Relationships>
</file>

<file path=word/document.xml><?xml version="1.0" encoding="utf-8"?>
<w:document xmlns:w="http://schemas.openxmlformats.org/wordprocessingml/2006/main">
  <w:body>
    <w:p>
      <w:r>
        <w:t>S-3556.1</w:t>
      </w:r>
    </w:p>
    <w:p>
      <w:pPr>
        <w:jc w:val="center"/>
      </w:pPr>
      <w:r>
        <w:t>_______________________________________________</w:t>
      </w:r>
    </w:p>
    <w:p/>
    <w:p>
      <w:pPr>
        <w:jc w:val="center"/>
      </w:pPr>
      <w:r>
        <w:rPr>
          <w:b/>
        </w:rPr>
        <w:t>SENATE BILL 5928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Braun, Gildon, Rivers, Short, Warnick, and L. Wilson</w:t>
      </w:r>
    </w:p>
    <w:p/>
    <w:p>
      <w:r>
        <w:rPr>
          <w:t xml:space="preserve">Read first time 01/21/22.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access and affordability by decreasing construction costs associated with the Washington state energy code for residential buildings; amending RCW 19.27A.020, 19.27A.045, and 19.27A.160;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affordable housing in all areas of the state. Each one of Washington's residents needs housing and the legislature intends to address the overall costs of construction in order to increase access to, and affordability for, all housing types across Washington. State-imposed, high-barrier construction costs are most burdensome to those who can least afford increasing housing costs. The legislature finds that it is appropriate to address the underlying cost of state energy code compliance and, given that the state has taken positive and assertive action on clean energy generation and efficiency, it is the legislature's intent to balance the housing needs of its residents with the promotion of efficient and sustainable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w:t>
      </w:r>
      <w:r>
        <w:t>((</w:t>
      </w:r>
      <w:r>
        <w:rPr>
          <w:strike/>
        </w:rPr>
        <w:t xml:space="preserve">The Washington state energy code shall be designed to:</w:t>
      </w:r>
    </w:p>
    <w:p>
      <w:pPr>
        <w:spacing w:before="0" w:after="0" w:line="408" w:lineRule="exact"/>
        <w:ind w:left="0" w:right="0" w:firstLine="576"/>
        <w:jc w:val="left"/>
      </w:pPr>
      <w:r>
        <w:rPr>
          <w:strike/>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strike/>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strike/>
        </w:rPr>
        <w:t xml:space="preserve">(c) Allow space heating equipment efficiency to offset or substitute for building envelope thermal performance.</w:t>
      </w:r>
      <w:r>
        <w:t>))</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 </w:t>
      </w:r>
      <w:r>
        <w:rPr>
          <w:u w:val="single"/>
        </w:rPr>
        <w:t xml:space="preserve">for nonresidential buildings</w:t>
      </w:r>
      <w:r>
        <w:rPr/>
        <w:t xml:space="preserv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u w:val="single"/>
        </w:rPr>
        <w:t xml:space="preserve">(1)</w:t>
      </w:r>
      <w:r>
        <w:rPr/>
        <w:t xml:space="preserve"> 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w:t>
      </w:r>
      <w:r>
        <w:t>((</w:t>
      </w:r>
      <w:r>
        <w:rPr>
          <w:strike/>
        </w:rPr>
        <w:t xml:space="preserve">increase the energy efficiency</w:t>
      </w:r>
      <w:r>
        <w:t>))</w:t>
      </w:r>
      <w:r>
        <w:rPr/>
        <w:t xml:space="preserve"> </w:t>
      </w:r>
      <w:r>
        <w:rPr>
          <w:u w:val="single"/>
        </w:rPr>
        <w:t xml:space="preserve">decrease the construction costs</w:t>
      </w:r>
      <w:r>
        <w:rPr/>
        <w:t xml:space="preserve">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(2) The state building code council shall delay implementation of the Washington state energy code for residential structures, 2021 edition. The state building code council must review and amend the Washington state energy code for residential structures, 2021 edition, by January 1, 2024, for implementation by July 1, 2024. The review and amendments to the Washington state energy code for residential structures, 2021 edition, must be for the purpose of reducing construction costs and providing the least burdensome alternatives for compliance. The state building code council may not increase, but may decrease, the energy efficiency requirements in the Washington state energy code for residential structures, 2021 edition.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residential and</w:t>
      </w:r>
      <w:r>
        <w:t>))</w:t>
      </w:r>
      <w:r>
        <w:rPr/>
        <w:t xml:space="preserve"> nonresidential construction permitted under the 2031 state energy code must achieve a seventy percent reduction in annual net energy consumption, using the adopted 2006 Washington state energy code as a baseline.</w:t>
      </w:r>
    </w:p>
    <w:p>
      <w:pPr>
        <w:spacing w:before="0" w:after="0" w:line="408" w:lineRule="exact"/>
        <w:ind w:left="0" w:right="0" w:firstLine="576"/>
        <w:jc w:val="left"/>
      </w:pPr>
      <w:r>
        <w:rPr/>
        <w:t xml:space="preserve">(2) The council shall adopt state energy codes </w:t>
      </w:r>
      <w:r>
        <w:rPr>
          <w:u w:val="single"/>
        </w:rPr>
        <w:t xml:space="preserve">for nonresidential buildings</w:t>
      </w:r>
      <w:r>
        <w:rPr/>
        <w:t xml:space="preserve"> from 2013 through 2031 that incrementally move towards achieving the seventy percent reduction in annual net energy consumption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eca70265b0449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333c7f1954f57" /><Relationship Type="http://schemas.openxmlformats.org/officeDocument/2006/relationships/footer" Target="/word/footer1.xml" Id="Raeca70265b0449b1" /></Relationships>
</file>