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5e784825b4d01" /></Relationships>
</file>

<file path=word/document.xml><?xml version="1.0" encoding="utf-8"?>
<w:document xmlns:w="http://schemas.openxmlformats.org/wordprocessingml/2006/main">
  <w:body>
    <w:p>
      <w:r>
        <w:t>S-4058.1</w:t>
      </w:r>
    </w:p>
    <w:p>
      <w:pPr>
        <w:jc w:val="center"/>
      </w:pPr>
      <w:r>
        <w:t>_______________________________________________</w:t>
      </w:r>
    </w:p>
    <w:p/>
    <w:p>
      <w:pPr>
        <w:jc w:val="center"/>
      </w:pPr>
      <w:r>
        <w:rPr>
          <w:b/>
        </w:rPr>
        <w:t>SENATE BILL 5964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Kuderer, Gildon, and Saldaña</w:t>
      </w:r>
    </w:p>
    <w:p/>
    <w:p>
      <w:r>
        <w:rPr>
          <w:t xml:space="preserve">Read first time 01/31/22.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consolidated local permit review processes; amending RCW 36.70B.140; adding new sections to chapter 36.70B RCW; and making appropriations.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by ordinance or resolution,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of the structure thereby requiring upgraded fire access or fire suppression systems.</w:t>
      </w:r>
    </w:p>
    <w:p>
      <w:pPr>
        <w:spacing w:before="0" w:after="0" w:line="408" w:lineRule="exact"/>
        <w:ind w:left="0" w:right="0" w:firstLine="576"/>
        <w:jc w:val="left"/>
      </w:pPr>
      <w:r>
        <w:rPr>
          <w:u w:val="single"/>
        </w:rPr>
        <w:t xml:space="preserve">(4)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for residential permit applications within 45 business days or 90 calendar days.</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the 45 business day or 90 calendar day time frame.</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 day probationary period. If the jurisdiction is not able to meet the requirements of this section by the end of the probationary period, the jurisdiction is no longer eligible to receive grants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$40,000,000, or as much thereof as may be necessary, is appropriated for the fiscal year ending June 30, 2023, from the general fund to the department of commerce for the purposes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2023, from the general fund to the department of commerce for the purposes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 and</w:t>
      </w:r>
    </w:p>
    <w:p>
      <w:pPr>
        <w:spacing w:before="0" w:after="0" w:line="408" w:lineRule="exact"/>
        <w:ind w:left="0" w:right="0" w:firstLine="576"/>
        <w:jc w:val="left"/>
      </w:pPr>
      <w:r>
        <w:rPr/>
        <w:t xml:space="preserve">(b) Building industries.</w:t>
      </w:r>
    </w:p>
    <w:p>
      <w:pPr>
        <w:spacing w:before="0" w:after="0" w:line="408" w:lineRule="exact"/>
        <w:ind w:left="0" w:right="0" w:firstLine="576"/>
        <w:jc w:val="left"/>
      </w:pPr>
      <w:r>
        <w:rPr/>
        <w:t xml:space="preserve">(3) The department of commerce must convene the first meeting of the work group by August 1, 2022. The department must submit a final report to the governor and the appropriate committees of the legislature by August 1, 2023. The final report must:</w:t>
      </w:r>
    </w:p>
    <w:p>
      <w:pPr>
        <w:spacing w:before="0" w:after="0" w:line="408" w:lineRule="exact"/>
        <w:ind w:left="0" w:right="0" w:firstLine="576"/>
        <w:jc w:val="left"/>
      </w:pPr>
      <w:r>
        <w:rPr/>
        <w:t xml:space="preserve">(a) Evaluate the existing need for digital permitting systems;</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 or as much thereof as may be necessary, is appropriated for the fiscal year ending June 30, 2023, from the general fund to the department of commerce for the purposes of section 6 of this act.</w:t>
      </w:r>
    </w:p>
    <w:p/>
    <w:p>
      <w:pPr>
        <w:jc w:val="center"/>
      </w:pPr>
      <w:r>
        <w:rPr>
          <w:b/>
        </w:rPr>
        <w:t>--- END ---</w:t>
      </w:r>
    </w:p>
    <w:sectPr>
      <w:pgNumType w:start="1"/>
      <w:footerReference xmlns:r="http://schemas.openxmlformats.org/officeDocument/2006/relationships" r:id="R9b1cdb691ba54f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83dd4bed44e68" /><Relationship Type="http://schemas.openxmlformats.org/officeDocument/2006/relationships/footer" Target="/word/footer1.xml" Id="R9b1cdb691ba54fb5" /></Relationships>
</file>