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19bdad0c349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Carlyle, Cleveland, Das, Dhingra, Hunt, Kuderer, Lovelett, Lovick, Mullet, Nguyen, Nobles, Salomon, Trudeau, Wellman,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82.38.020, 82.38.030, 82.38.035, 82.38.180, 82.42.020, 46.17.200, 46.17.120, 46.17.400, 46.52.130, 46.17.015, 46.17.025, 46.20.200, 46.68.041, 46.70.180, 82.32.385, 82.08.993, 82.12.817, 82.08.9999, 82.12.9999, 82.04.4496, 82.16.0496, 82.08.816, 82.12.816, 82.70.040, 82.70.050, 82.21.030, 43.84.092, 43.84.092, 82.47.020, 35.21.870, 36.73.065, 82.14.0455, 70A.535.010, 70A.535.030, 70A.535.040, 70A.535.050, 70A.535.120, 46.63.170, 46.63.170, 70A.65.230, 46.68.480, and 46.68.060; amending 2020 c 224 s 3 (uncodified); reenacting and amending RCW 46.20.202; adding new sections to chapter 46.68 RCW; adding a new section to chapter 82.38 RCW; adding a new section to chapter 70A.535 RCW; adding new sections to chapter 47.66 RCW; adding new sections to chapter 47.04 RCW; adding a new section to chapter 47.24 RCW; adding new sections to chapter 47.60 RCW; adding a new section to chapter 47.56 RCW; adding a new section to chapter 47.06A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the legislature intends to program funding from various resources in this act for the activities identified in LEAP Transportation Document 2022-B as developed February 14, 2022, LEAP Transportation Document 2022 NL-1 as developed February 14, 2022, LEAP Transportation Document 2022 NL-2 as developed February 14, 2022, and LEAP Transportation Document 2022 NL-3 as developed February 14, 2022.</w:t>
      </w:r>
    </w:p>
    <w:p>
      <w:pPr>
        <w:spacing w:before="0" w:after="0" w:line="408" w:lineRule="exact"/>
        <w:ind w:left="0" w:right="0" w:firstLine="576"/>
        <w:jc w:val="left"/>
      </w:pPr>
      <w:r>
        <w:rPr/>
        <w:t xml:space="preserve">(2) Furthermore, the legislature intends that $500,000,000 of the amounts identified for preservation and maintenance on LEAP Transportation Document 2022-B as developed February 14, 2022,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Exported Fuel Tax, 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 AND INTENT.</w:t>
      </w:r>
      <w:r>
        <w:t xml:space="preserve">  </w:t>
      </w:r>
      <w:r>
        <w:rPr/>
        <w:t xml:space="preserve">(1) The legislature finds that a portion of the state's greenhouse gas emissions are directly related to petroleum fuel products produced by the state's five refineries that are exported to other states and jurisdictions. These carbon emissions have a real impact on the citizens of the state of Washington and these impacts are not adequately compensated for under the existing taxing structures.</w:t>
      </w:r>
    </w:p>
    <w:p>
      <w:pPr>
        <w:spacing w:before="0" w:after="0" w:line="408" w:lineRule="exact"/>
        <w:ind w:left="0" w:right="0" w:firstLine="576"/>
        <w:jc w:val="left"/>
      </w:pPr>
      <w:r>
        <w:rPr/>
        <w:t xml:space="preserve">(2) The legislature further finds that carbon emissions directly attributable to just the refining process associated with petroleum fuel products that are subsequently exported has been estimated at 3,300,000 metric tons per year.</w:t>
      </w:r>
    </w:p>
    <w:p>
      <w:pPr>
        <w:spacing w:before="0" w:after="0" w:line="408" w:lineRule="exact"/>
        <w:ind w:left="0" w:right="0" w:firstLine="576"/>
        <w:jc w:val="left"/>
      </w:pPr>
      <w:r>
        <w:rPr/>
        <w:t xml:space="preserve">(3) The legislature further finds that the costs associated with carbon emissions are global in nature and the impacts associated with carbon emissions are not simply felt by those within a state's geographic boundary. However, applying a standard societal costs of carbon method results in estimated annual impacts over $250,000,000 associated with the current amount of exported petroleum fuel products.</w:t>
      </w:r>
    </w:p>
    <w:p>
      <w:pPr>
        <w:spacing w:before="0" w:after="0" w:line="408" w:lineRule="exact"/>
        <w:ind w:left="0" w:right="0" w:firstLine="576"/>
        <w:jc w:val="left"/>
      </w:pPr>
      <w:r>
        <w:rPr/>
        <w:t xml:space="preserve">(4) Therefore, the legislature intends to modify state fuel tax law in a manner that compensates the state for a portion of the societal costs of carbon attributable to the refining process associated with petroleum fuel products that are subsequently exported, but also ensures that the current favorable tax treatment for petroleum fuel products that are exported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"United States" means a state of the United States, the District of Columbia, the Commonwealth of Puerto Rico, or a territory or insular possession subject to the jurisdiction of the United States. "United States" also includes all federally recognized tribal reservations and federal trust lands within the geographic boundaries of the United States as they exist now or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w:t>
      </w:r>
      <w:r>
        <w:t>((</w:t>
      </w:r>
      <w:r>
        <w:rPr>
          <w:strike/>
        </w:rPr>
        <w:t xml:space="preserve">if the fuel is removed at the rack</w:t>
      </w:r>
      <w:r>
        <w:t>))</w:t>
      </w:r>
      <w:r>
        <w:rPr/>
        <w:t xml:space="preserve"> unless the removal is by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w:t>
      </w:r>
      <w:r>
        <w:rPr>
          <w:u w:val="single"/>
        </w:rPr>
        <w:t xml:space="preserve">or by bulk transfer</w:t>
      </w:r>
      <w:r>
        <w:rPr/>
        <w:t xml:space="preserve"> unless the removal is to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The department shall adopt rules under RCW 82.38.260 to ensure compliance with this chapter with respect to fuel exported from the state, including necessary audits and data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fuel exported from the state. Except as provided in subsection (2) of this section, the credit is equal to the number of gallons of fuel exported multiplied by the total rate of tax imposed under this chapter, less six cents per gallon. Fuel distributed to a federally recognized Indian tribal reservation located within the state of Washington is not considered exported from this state.</w:t>
      </w:r>
    </w:p>
    <w:p>
      <w:pPr>
        <w:spacing w:before="0" w:after="0" w:line="408" w:lineRule="exact"/>
        <w:ind w:left="0" w:right="0" w:firstLine="576"/>
        <w:jc w:val="left"/>
      </w:pPr>
      <w:r>
        <w:rPr/>
        <w:t xml:space="preserve">(2) If the total rate of a comparable fuel tax imposed by the importing state exceeds the total rate of tax imposed under this chapter less six cents per gallon, the credit is equal to the number of gallons of fuel exported multiplied by the total rate of tax imposed by the importing state.</w:t>
      </w:r>
    </w:p>
    <w:p>
      <w:pPr>
        <w:spacing w:before="0" w:after="0" w:line="408" w:lineRule="exact"/>
        <w:ind w:left="0" w:right="0" w:firstLine="576"/>
        <w:jc w:val="left"/>
      </w:pPr>
      <w:r>
        <w:rPr/>
        <w:t xml:space="preserve">(3) The amount of credit earned under this section may not exceed the tax otherwise due under this chapter with respect to the fuel exported.</w:t>
      </w:r>
    </w:p>
    <w:p>
      <w:pPr>
        <w:spacing w:before="0" w:after="0" w:line="408" w:lineRule="exact"/>
        <w:ind w:left="0" w:right="0" w:firstLine="576"/>
        <w:jc w:val="left"/>
      </w:pPr>
      <w:r>
        <w:rPr/>
        <w:t xml:space="preserve">(4) The department may adopt rules under chapter 34.05 RCW regarding the administration of the credit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180</w:t>
      </w:r>
      <w:r>
        <w:rPr/>
        <w:t xml:space="preserve"> and 2013 c 225 s 119 are each amended to read as follows:</w:t>
      </w:r>
    </w:p>
    <w:p>
      <w:pPr>
        <w:spacing w:before="0" w:after="0" w:line="408" w:lineRule="exact"/>
        <w:ind w:left="0" w:right="0" w:firstLine="576"/>
        <w:jc w:val="left"/>
      </w:pPr>
      <w:r>
        <w:rPr/>
        <w:t xml:space="preserve">(1) Any person who has purchased fuel on which tax has been paid may file a claim with the department for a refund of the tax for:</w:t>
      </w:r>
    </w:p>
    <w:p>
      <w:pPr>
        <w:spacing w:before="0" w:after="0" w:line="408" w:lineRule="exact"/>
        <w:ind w:left="0" w:right="0" w:firstLine="576"/>
        <w:jc w:val="left"/>
      </w:pPr>
      <w:r>
        <w:rPr/>
        <w:t xml:space="preserve">(a) Fuel used for purposes other than for the propulsion of motor vehicles upon the public highways in this state. However, a refund may not be made </w:t>
      </w:r>
      <w:r>
        <w:rPr>
          <w:u w:val="single"/>
        </w:rPr>
        <w:t xml:space="preserve">under this subsection (1)(a)</w:t>
      </w:r>
      <w:r>
        <w:rPr/>
        <w:t xml:space="preserve"> for motor vehicle fuel consumed by a motor vehicle required to be registered under chapter 46.16A RCW </w:t>
      </w:r>
      <w:r>
        <w:rPr>
          <w:u w:val="single"/>
        </w:rPr>
        <w:t xml:space="preserve">or under a comparable motor vehicle registration requirement in an importing state</w:t>
      </w:r>
      <w:r>
        <w:rPr/>
        <w:t xml:space="preserve">.</w:t>
      </w:r>
    </w:p>
    <w:p>
      <w:pPr>
        <w:spacing w:before="0" w:after="0" w:line="408" w:lineRule="exact"/>
        <w:ind w:left="0" w:right="0" w:firstLine="576"/>
        <w:jc w:val="left"/>
      </w:pPr>
      <w:r>
        <w:rPr/>
        <w:t xml:space="preserve">(b) Fuel exported for use outside of </w:t>
      </w:r>
      <w:r>
        <w:t>((</w:t>
      </w:r>
      <w:r>
        <w:rPr>
          <w:strike/>
        </w:rPr>
        <w:t xml:space="preserve">this state</w:t>
      </w:r>
      <w:r>
        <w:t>))</w:t>
      </w:r>
      <w:r>
        <w:rPr/>
        <w:t xml:space="preserve"> </w:t>
      </w:r>
      <w:r>
        <w:rPr>
          <w:u w:val="single"/>
        </w:rPr>
        <w:t xml:space="preserve">the United States</w:t>
      </w:r>
      <w:r>
        <w:rPr/>
        <w:t xml:space="preserve">. Fuel carried from this state </w:t>
      </w:r>
      <w:r>
        <w:rPr>
          <w:u w:val="single"/>
        </w:rPr>
        <w:t xml:space="preserve">outside of the United States</w:t>
      </w:r>
      <w:r>
        <w:rPr/>
        <w:t xml:space="preserve"> in the fuel tank of a motor vehicle is deemed to be exported from this state </w:t>
      </w:r>
      <w:r>
        <w:rPr>
          <w:u w:val="single"/>
        </w:rPr>
        <w:t xml:space="preserve">under this subsection (1)(b)</w:t>
      </w:r>
      <w:r>
        <w:rPr/>
        <w:t xml:space="preserve">. Fuel distributed to a federally recognized Indian tribal reservation located within the state of Washington is not considered exported outside </w:t>
      </w:r>
      <w:r>
        <w:t>((</w:t>
      </w:r>
      <w:r>
        <w:rPr>
          <w:strike/>
        </w:rPr>
        <w:t xml:space="preserve">this state</w:t>
      </w:r>
      <w:r>
        <w:t>))</w:t>
      </w:r>
      <w:r>
        <w:rPr/>
        <w:t xml:space="preserve"> </w:t>
      </w:r>
      <w:r>
        <w:rPr>
          <w:u w:val="single"/>
        </w:rPr>
        <w:t xml:space="preserve">of the United States</w:t>
      </w:r>
      <w:r>
        <w:rPr/>
        <w:t xml:space="preserve">.</w:t>
      </w:r>
    </w:p>
    <w:p>
      <w:pPr>
        <w:spacing w:before="0" w:after="0" w:line="408" w:lineRule="exact"/>
        <w:ind w:left="0" w:right="0" w:firstLine="576"/>
        <w:jc w:val="left"/>
      </w:pPr>
      <w:r>
        <w:rPr/>
        <w:t xml:space="preserve">(c) Tax, penalty, or interest erroneously or illegally collected or paid.</w:t>
      </w:r>
    </w:p>
    <w:p>
      <w:pPr>
        <w:spacing w:before="0" w:after="0" w:line="408" w:lineRule="exact"/>
        <w:ind w:left="0" w:right="0" w:firstLine="576"/>
        <w:jc w:val="left"/>
      </w:pPr>
      <w:r>
        <w:rPr/>
        <w:t xml:space="preserve">(d) Fuel which is lost or destroyed, while the licensee is the owner thereof, through fire, lightning, flood, windstorm, or explosion.</w:t>
      </w:r>
    </w:p>
    <w:p>
      <w:pPr>
        <w:spacing w:before="0" w:after="0" w:line="408" w:lineRule="exact"/>
        <w:ind w:left="0" w:right="0" w:firstLine="576"/>
        <w:jc w:val="left"/>
      </w:pPr>
      <w:r>
        <w:rPr/>
        <w:t xml:space="preserve">(e) Fuel of </w:t>
      </w:r>
      <w:r>
        <w:t>((</w:t>
      </w:r>
      <w:r>
        <w:rPr>
          <w:strike/>
        </w:rPr>
        <w:t xml:space="preserve">five hundred</w:t>
      </w:r>
      <w:r>
        <w:t>))</w:t>
      </w:r>
      <w:r>
        <w:rPr/>
        <w:t xml:space="preserve"> </w:t>
      </w:r>
      <w:r>
        <w:rPr>
          <w:u w:val="single"/>
        </w:rPr>
        <w:t xml:space="preserve">500</w:t>
      </w:r>
      <w:r>
        <w:rPr/>
        <w:t xml:space="preserve"> gallons or more which is lost or destroyed while the licensee is the owner thereof, through leakage or other casualty except evaporation, shrinkage, or unknown causes.</w:t>
      </w:r>
    </w:p>
    <w:p>
      <w:pPr>
        <w:spacing w:before="0" w:after="0" w:line="408" w:lineRule="exact"/>
        <w:ind w:left="0" w:right="0" w:firstLine="576"/>
        <w:jc w:val="left"/>
      </w:pPr>
      <w:r>
        <w:rPr/>
        <w:t xml:space="preserve">(f) Fuel used in power pumping units or other power take</w:t>
      </w:r>
      <w:r>
        <w:rPr/>
        <w:noBreakHyphen/>
      </w:r>
      <w:r>
        <w:rPr/>
        <w:t xml:space="preserve">off equipment of any motor vehicle which is accurately measured by metering devices that have been specifically approved by the department or by a formula determined by the department.</w:t>
      </w:r>
    </w:p>
    <w:p>
      <w:pPr>
        <w:spacing w:before="0" w:after="0" w:line="408" w:lineRule="exact"/>
        <w:ind w:left="0" w:right="0" w:firstLine="576"/>
        <w:jc w:val="left"/>
      </w:pPr>
      <w:r>
        <w:rPr/>
        <w:t xml:space="preserve">(2) Any person who has purchased special fuel on which tax has been paid may file a claim with the department for a refund of tax for:</w:t>
      </w:r>
    </w:p>
    <w:p>
      <w:pPr>
        <w:spacing w:before="0" w:after="0" w:line="408" w:lineRule="exact"/>
        <w:ind w:left="0" w:right="0" w:firstLine="576"/>
        <w:jc w:val="left"/>
      </w:pPr>
      <w:r>
        <w:rPr/>
        <w:t xml:space="preserve">(a) Special fuel used for the operation of a motor vehicle as a part of or incidental to logging operations upon a highway under federal jurisdiction within the boundaries of a federal area if the federal government requires a fee for the privilege of operating the motor vehicle upon the highway, the proceeds of which are reserved for constructing or maintaining roads in the federal area, or requires maintenance or construction work to be performed on the highway for the privilege of operating the motor vehicle on the highway;</w:t>
      </w:r>
    </w:p>
    <w:p>
      <w:pPr>
        <w:spacing w:before="0" w:after="0" w:line="408" w:lineRule="exact"/>
        <w:ind w:left="0" w:right="0" w:firstLine="576"/>
        <w:jc w:val="left"/>
      </w:pPr>
      <w:r>
        <w:rPr/>
        <w:t xml:space="preserve">(b) Special fuel used by special mobile equipment as defined in RCW 46.04.552;</w:t>
      </w:r>
    </w:p>
    <w:p>
      <w:pPr>
        <w:spacing w:before="0" w:after="0" w:line="408" w:lineRule="exact"/>
        <w:ind w:left="0" w:right="0" w:firstLine="576"/>
        <w:jc w:val="left"/>
      </w:pPr>
      <w:r>
        <w:rPr/>
        <w:t xml:space="preserve">(c) Special fuel used in a motor vehicle for movement between two pieces of private property wherein the movement is incidental to the primary use of the vehicle; and</w:t>
      </w:r>
    </w:p>
    <w:p>
      <w:pPr>
        <w:spacing w:before="0" w:after="0" w:line="408" w:lineRule="exact"/>
        <w:ind w:left="0" w:right="0" w:firstLine="576"/>
        <w:jc w:val="left"/>
      </w:pPr>
      <w:r>
        <w:rPr/>
        <w:t xml:space="preserve">(d) Special fuel inadvertently mixed with dyed special fuel.</w:t>
      </w:r>
    </w:p>
    <w:p>
      <w:pPr>
        <w:spacing w:before="0" w:after="0" w:line="408" w:lineRule="exact"/>
        <w:ind w:left="0" w:right="0" w:firstLine="576"/>
        <w:jc w:val="left"/>
      </w:pPr>
      <w:r>
        <w:rPr/>
        <w:t xml:space="preserve">(3) Any person who has purchased motor vehicle fuel on which tax has been paid may file a claim with the department for a refund of tax for:</w:t>
      </w:r>
    </w:p>
    <w:p>
      <w:pPr>
        <w:spacing w:before="0" w:after="0" w:line="408" w:lineRule="exact"/>
        <w:ind w:left="0" w:right="0" w:firstLine="576"/>
        <w:jc w:val="left"/>
      </w:pPr>
      <w:r>
        <w:rPr/>
        <w:t xml:space="preserve">(a) Motor vehicle fuel used by a private, nonprofit transportation provider regulated under chapter 81.66 RCW </w:t>
      </w:r>
      <w:r>
        <w:rPr>
          <w:u w:val="single"/>
        </w:rPr>
        <w:t xml:space="preserve">or under a comparable regulation in an importing state</w:t>
      </w:r>
      <w:r>
        <w:rPr/>
        <w:t xml:space="preserve"> to provide transportation services for persons with special transportation needs; and</w:t>
      </w:r>
    </w:p>
    <w:p>
      <w:pPr>
        <w:spacing w:before="0" w:after="0" w:line="408" w:lineRule="exact"/>
        <w:ind w:left="0" w:right="0" w:firstLine="576"/>
        <w:jc w:val="left"/>
      </w:pPr>
      <w:r>
        <w:rPr/>
        <w:t xml:space="preserve">(b) Motor vehicle fuel used by an urban passenger transportation system. For purposes of this subsection "urban passenger transportation system" means every transportation system, publicly or privately owned, having as its principal source of revenue the income from transporting persons for compensation by means of motor vehicles or trackless trolleys, each having a seating capacity of over </w:t>
      </w:r>
      <w:r>
        <w:t>((</w:t>
      </w:r>
      <w:r>
        <w:rPr>
          <w:strike/>
        </w:rPr>
        <w:t xml:space="preserve">fifteen</w:t>
      </w:r>
      <w:r>
        <w:t>))</w:t>
      </w:r>
      <w:r>
        <w:rPr/>
        <w:t xml:space="preserve"> </w:t>
      </w:r>
      <w:r>
        <w:rPr>
          <w:u w:val="single"/>
        </w:rPr>
        <w:t xml:space="preserve">15</w:t>
      </w:r>
      <w:r>
        <w:rPr/>
        <w:t xml:space="preserve"> persons, over prescribed routes in such a manner that the routes of such motor vehicles or trackless trolleys, either alone or in conjunction with routes of other such motor vehicles or trackless trolleys subject to the routing by the same transportation system, do not extend for a distance exceeding </w:t>
      </w:r>
      <w:r>
        <w:t>((</w:t>
      </w:r>
      <w:r>
        <w:rPr>
          <w:strike/>
        </w:rPr>
        <w:t xml:space="preserve">fifteen</w:t>
      </w:r>
      <w:r>
        <w:t>))</w:t>
      </w:r>
      <w:r>
        <w:rPr/>
        <w:t xml:space="preserve"> </w:t>
      </w:r>
      <w:r>
        <w:rPr>
          <w:u w:val="single"/>
        </w:rPr>
        <w:t xml:space="preserve">15</w:t>
      </w:r>
      <w:r>
        <w:rPr/>
        <w:t xml:space="preserve"> road miles beyond the corporate limits of the city in which the original starting points of such motor vehicles or trackless trolleys are located. No refunds are authorized for fuel used on any trip where any portion of the trip is more than </w:t>
      </w:r>
      <w:r>
        <w:t>((</w:t>
      </w:r>
      <w:r>
        <w:rPr>
          <w:strike/>
        </w:rPr>
        <w:t xml:space="preserve">fifteen</w:t>
      </w:r>
      <w:r>
        <w:t>))</w:t>
      </w:r>
      <w:r>
        <w:rPr/>
        <w:t xml:space="preserve"> </w:t>
      </w:r>
      <w:r>
        <w:rPr>
          <w:u w:val="single"/>
        </w:rPr>
        <w:t xml:space="preserve">15</w:t>
      </w:r>
      <w:r>
        <w:rPr/>
        <w:t xml:space="preserve"> road miles beyond the corporate limits of the city in which the trip originated.</w:t>
      </w:r>
    </w:p>
    <w:p>
      <w:pPr>
        <w:spacing w:before="0" w:after="0" w:line="408" w:lineRule="exact"/>
        <w:ind w:left="0" w:right="0" w:firstLine="576"/>
        <w:jc w:val="left"/>
      </w:pPr>
      <w:r>
        <w:rPr/>
        <w:t xml:space="preserve">(4) Recovery for such loss or destruction under subsections (1)(d) or (e) or (2)(d) of this section must be susceptible to positive proof thereby enabling the department to conduct such investigation and require such information as it may deem necessary. In the event that the department is not satisfied that the fuel was lost, destroyed, or contaminated as claimed because information or proof as required hereunder is not sufficient to substantiate the accuracy of the claim, it may deem such as sufficient cause to deny all right relating to the refund or credit for the excise tax paid on fuel alleged to be lost or destroyed.</w:t>
      </w:r>
    </w:p>
    <w:p>
      <w:pPr>
        <w:spacing w:before="0" w:after="0" w:line="408" w:lineRule="exact"/>
        <w:ind w:left="0" w:right="0" w:firstLine="576"/>
        <w:jc w:val="left"/>
      </w:pPr>
      <w:r>
        <w:rPr/>
        <w:t xml:space="preserve">(5) No refund or claim for credit may be approved by the department unless the gallons of fuel claimed as nontaxable satisfy the conditions specifically set forth in this section and the nontaxable event or use occurred during the period covered by the refund claim. Refunds or claims for credit are not </w:t>
      </w:r>
      <w:r>
        <w:t>((</w:t>
      </w:r>
      <w:r>
        <w:rPr>
          <w:strike/>
        </w:rPr>
        <w:t xml:space="preserve">be [are not]</w:t>
      </w:r>
      <w:r>
        <w:t>))</w:t>
      </w:r>
      <w:r>
        <w:rPr/>
        <w:t xml:space="preserve"> allowed for anticipated nontaxable use or events.</w:t>
      </w:r>
    </w:p>
    <w:p>
      <w:pPr>
        <w:spacing w:before="0" w:after="0" w:line="408" w:lineRule="exact"/>
        <w:ind w:left="0" w:right="0" w:firstLine="576"/>
        <w:jc w:val="left"/>
      </w:pPr>
      <w:r>
        <w:rPr>
          <w:u w:val="single"/>
        </w:rPr>
        <w:t xml:space="preserve">(6) The department shall establish, by rule, minimum acceptable requirements and conditions on refunds subject to the authority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r>
        <w:rPr>
          <w:u w:val="single"/>
        </w:rPr>
        <w:t xml:space="preserve">, except as allowed under subsection (5) of this section</w:t>
      </w:r>
      <w:r>
        <w:rPr/>
        <w:t xml:space="preserve">.</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(5)(a) A city or town may impose a tax of up to two percent, which may be in addition to the amount imposed pursuant to subsection (1) of this section, on the privilege of conducting a natural gas or steam energy business.</w:t>
      </w:r>
    </w:p>
    <w:p>
      <w:pPr>
        <w:spacing w:before="0" w:after="0" w:line="408" w:lineRule="exact"/>
        <w:ind w:left="0" w:right="0" w:firstLine="576"/>
        <w:jc w:val="left"/>
      </w:pPr>
      <w:r>
        <w:rPr>
          <w:u w:val="single"/>
        </w:rPr>
        <w:t xml:space="preserve">(b) The proceeds of any tax imposed pursuant to this subsection (5) must be used exclusively for transportation improvements, which must be contained in the transportation plan of the state, a regional transportation planning organization, city, or county. A project may include, but is not limited to,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but are not limited to,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409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409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409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409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409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429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 and</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The freight mobility strategic investment board shall establish a railroad crossing grant program. The board shall develop a prioritization process to make awards to cities and counties with projects that eliminate at grade highway-rail crossings. Application to federal grant programs to secure matching funds must be one factor to be considered as part of the prioritization process, but the primary criteria must center on improving safety and expediting the movement of vehicles by eliminating highway-rail crossing at grade with a grade separation.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435 and 436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435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416 and 428 through 430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310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425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312, 409 through 415, and 422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212, 215, and 216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213 and 214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take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207 through 210, 217, 301 through 311, 401 through 403, 405 through 408, 416 through 421, 423, 424, 426 through 430, 433, and 505 of this act take effect July 1, 2022.</w:t>
      </w:r>
    </w:p>
    <w:p/>
    <w:p>
      <w:pPr>
        <w:jc w:val="center"/>
      </w:pPr>
      <w:r>
        <w:rPr>
          <w:b/>
        </w:rPr>
        <w:t>--- END ---</w:t>
      </w:r>
    </w:p>
    <w:sectPr>
      <w:pgNumType w:start="1"/>
      <w:footerReference xmlns:r="http://schemas.openxmlformats.org/officeDocument/2006/relationships" r:id="Rf0948d0db5f347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ae204f7be4a11" /><Relationship Type="http://schemas.openxmlformats.org/officeDocument/2006/relationships/footer" Target="/word/footer1.xml" Id="Rf0948d0db5f347a2" /></Relationships>
</file>