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e52fcd26440b1" /></Relationships>
</file>

<file path=word/document.xml><?xml version="1.0" encoding="utf-8"?>
<w:document xmlns:w="http://schemas.openxmlformats.org/wordprocessingml/2006/main">
  <w:body>
    <w:p>
      <w:r>
        <w:t>S-3159.1</w:t>
      </w:r>
    </w:p>
    <w:p>
      <w:pPr>
        <w:jc w:val="center"/>
      </w:pPr>
      <w:r>
        <w:t>_______________________________________________</w:t>
      </w:r>
    </w:p>
    <w:p/>
    <w:p>
      <w:pPr>
        <w:jc w:val="center"/>
      </w:pPr>
      <w:r>
        <w:rPr>
          <w:b/>
        </w:rPr>
        <w:t>SENATE JOINT RESOLUTION 8211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r>
        <w:rPr>
          <w:t xml:space="preserve">Prefiled 01/07/22.</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Any state revenue collected from a road usage charge, vehicle miles traveled fee, or other similar type of comparable charge,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7a1b6287e5540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a2a01f2ce4abd" /><Relationship Type="http://schemas.openxmlformats.org/officeDocument/2006/relationships/footer" Target="/word/footer1.xml" Id="R97a1b6287e5540e8" /></Relationships>
</file>