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dff0446a242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Mullet, Nguyen, Robinson, Salomon,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in custody; adding a new section to chapter 72.09 RCW; adding a new section to chapter 43.06C RCW; adding a new section to chapter 70.48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and a representative from the department of health.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120 days following the fatality, issue a report on the results of the review, unless an extension has been granted by the governor. Reports must be distributed to the appropriate committees of the legislature, and the department shall create a public website where all unexpected fatality review reports required under this section must be posted and maintained. An unexpected fatality review report completed pursuant to this section is subject to public disclosure and must be posted on the public website,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Within 10 days of completion of an unexpected fatality review under this section, the department shall develop an associated corrective action plan to implement any recommendations made by the review team in the unexpected fatality review report. Corrective action plans shall be implemented within 120 days, unless an extension has been granted by the governor. Corrective action plans are subject to public disclosure, and must be posted on the department's website in accordance with (d) of this subsection,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(f)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"Unexpected fatality review" means a review of any death that was not the result of a diagnosed or documented terminal illness or other debilitating or deteriorating illness or condition where the death was anticipated, and includes the death of any person under the jurisdiction of the department, regardless of where the death actually occurred. A review must include an analysis of the root cause or causes of the unexpected fatality, and an associated corrective action plan for the department to address identified root causes and recommendations made by the unexpected fatality review team under this section.</w:t>
      </w:r>
    </w:p>
    <w:p>
      <w:pPr>
        <w:spacing w:before="0" w:after="0" w:line="408" w:lineRule="exact"/>
        <w:ind w:left="0" w:right="0" w:firstLine="576"/>
        <w:jc w:val="left"/>
      </w:pPr>
      <w:r>
        <w:rPr/>
        <w:t xml:space="preserve">(b) "Jurisdiction of the department" does not include persons on community custody under the supervision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department of health shall create a public website where all unexpected fatality review reports required under this section must be posted and maintained. An unexpected fatality review report completed pursuant to this section is subject to public disclosure and must be posted on the department of health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35f8607a136b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4f438ddb34dd3" /><Relationship Type="http://schemas.openxmlformats.org/officeDocument/2006/relationships/footer" Target="/word/footer1.xml" Id="R35f8607a136b476a" /></Relationships>
</file>