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a4f05d0e443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5126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54</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Carlyle, Saldaña, Conway, Das, Frockt, Hunt, Liias, Nguyen, Pedersen, Salomon, Stanford, and Wilson, C.; by request of Office of the Governor)</w:t>
      </w:r>
    </w:p>
    <w:p/>
    <w:p>
      <w:r>
        <w:rPr>
          <w:t xml:space="preserve">READ FIRST TIME 03/24/21.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climate commitment act; amending RCW 70A.15.2200, 43.376.020, 43.21B.300, and 43.52A.040; reenacting and amending RCW 43.21B.110 and 70A.45.005; adding a new section to chapter 43.21C RCW; adding a new section to chapter 70A.15 RCW; adding a new section to chapter 70A.45 RCW; adding a new chapter to Title 70A RCW; creating new sections; prescribing penalties;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Meeting these limits will require coordinated, comprehensive, and multisectoral implementation of policies, programs, and laws, as other enacted policies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significant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Wildfire pollution affects all Washingtonians, but has disproportionate health effects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climate policies must be appropriately designed, in order to avoid leakage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(7) Under the program, the legislature intends to identify overburdened communities where the highest concentrations of criteria pollutants occur, determine the sources of those emissions and pollutants, and pursue significant reductions of emissions and pollutants in those communities. The legislature further intends for the department of ecology to conduct environmental justice assessments to ensure that funds and programs created under this chapter provide direct and meaningful benefits to vulnerable populations and overburdened communities. Additionally, the legislature intends to prevent job loss and provide protective measures if workers are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empower the environmental justice council established under RCW 70A.---.--- (section 20, chapter . . ., Laws of 2021 (Engrossed Second Substitute Senate Bill No. 5141)) to provide recommendations for the development and implementation of the program, the distribution of funds, and the establishment of programs, activities, and projects to achieve environmental justice and environmental health goals. The legislature further intends for the department of ecology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section 10 of this act.</w:t>
      </w:r>
    </w:p>
    <w:p>
      <w:pPr>
        <w:spacing w:before="0" w:after="0" w:line="408" w:lineRule="exact"/>
        <w:ind w:left="0" w:right="0" w:firstLine="576"/>
        <w:jc w:val="left"/>
      </w:pPr>
      <w:r>
        <w:rPr/>
        <w:t xml:space="preserve">(23) "Covered entity" means a person that is designated by the department as subject to sections 8 through 24 of this act.</w:t>
      </w:r>
    </w:p>
    <w:p>
      <w:pPr>
        <w:spacing w:before="0" w:after="0" w:line="408" w:lineRule="exact"/>
        <w:ind w:left="0" w:right="0" w:firstLine="576"/>
        <w:jc w:val="left"/>
      </w:pPr>
      <w:r>
        <w:rPr/>
        <w:t xml:space="preserve">(24) "Cumulative environmental health impact" has the same meaning as provided in RCW 70A.---.--- (section 2, chapter . . ., Laws of 2021 (Engrossed Second Substitute Senate Bill No. 5141)).</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section 10(1)(c)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 (section 2, chapter . . ., Laws of 2021 (Engrossed Second Substitute Senate Bill No. 5141)).</w:t>
      </w:r>
    </w:p>
    <w:p>
      <w:pPr>
        <w:spacing w:before="0" w:after="0" w:line="408" w:lineRule="exact"/>
        <w:ind w:left="0" w:right="0" w:firstLine="576"/>
        <w:jc w:val="left"/>
      </w:pPr>
      <w:r>
        <w:rPr/>
        <w:t xml:space="preserve">(32) "Environmental harm" has the same meaning as defined in RCW 70A.---.--- (section 2, chapter . . ., Laws of 2021 (Engrossed Second Substitute Senate Bill No. 5141)).</w:t>
      </w:r>
    </w:p>
    <w:p>
      <w:pPr>
        <w:spacing w:before="0" w:after="0" w:line="408" w:lineRule="exact"/>
        <w:ind w:left="0" w:right="0" w:firstLine="576"/>
        <w:jc w:val="left"/>
      </w:pPr>
      <w:r>
        <w:rPr/>
        <w:t xml:space="preserve">(33) "Environmental impacts" has the same meaning as defined in RCW 70A.---.--- (section 2, chapter . . ., Laws of 2021 (Engrossed Second Substitute Senate Bill No. 5141)).</w:t>
      </w:r>
    </w:p>
    <w:p>
      <w:pPr>
        <w:spacing w:before="0" w:after="0" w:line="408" w:lineRule="exact"/>
        <w:ind w:left="0" w:right="0" w:firstLine="576"/>
        <w:jc w:val="left"/>
      </w:pPr>
      <w:r>
        <w:rPr/>
        <w:t xml:space="preserve">(34) "Environmental justice" has the same meaning as defined in RCW 70A.---.--- (section 2, chapter . . ., Laws of 2021 (Engrossed Second Substitute Senate Bill No. 5141)).</w:t>
      </w:r>
    </w:p>
    <w:p>
      <w:pPr>
        <w:spacing w:before="0" w:after="0" w:line="408" w:lineRule="exact"/>
        <w:ind w:left="0" w:right="0" w:firstLine="576"/>
        <w:jc w:val="left"/>
      </w:pPr>
      <w:r>
        <w:rPr/>
        <w:t xml:space="preserve">(35) "Environmental justice assessment" has the same meaning as identified in RCW 70A.---.--- (section 14, chapter . . ., Laws of 2021 (Engrossed Second Substitute Senate Bill No. 5141)).</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 (section 2, chapter . . ., Laws of 2021 (Engrossed Second Substitute Senate Bill No. 5141)).</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 (section 2, chapter . . ., Laws of 2021 (Engrossed Second Substitute Senate Bill No. 5141)).</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 (section 2, chapter . . ., Laws of 2021 (Engrossed Second Substitute Senate Bill No. 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8 through 24 of this act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 . ., Laws of 2021 (Engrossed Second Substitute Senate Bill No. 5141);</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section 35 of this act,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the effective date of this section that receives allowances under section 13 of this act must mitigate increases in its emissions of particulate matter in overburdened communities.</w:t>
      </w:r>
    </w:p>
    <w:p>
      <w:pPr>
        <w:spacing w:before="0" w:after="0" w:line="408" w:lineRule="exact"/>
        <w:ind w:left="0" w:right="0" w:firstLine="576"/>
        <w:jc w:val="left"/>
      </w:pPr>
      <w:r>
        <w:rPr/>
        <w:t xml:space="preserve">(4)(a) The department must create and adopt a supplement to the department's community engagement plan developed pursuant to chapter . . ., Laws of 2021 (Engrossed Second Substitute Senate Bill No. 5141).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Each year or biennium, as appropriate, when allocating funds from the carbon emissions reduction account created in section 27 of this act, the climate investment account created in section 28 of this act, or the air quality and health disparities improvement account created in section 31 of this act, or administering grants or programs funded by the accounts, agencies shall conduct an environmental justice assessment consistent with the requirements of RCW 70A.---.--- (section 14, chapter . . ., Laws of 2021 (Engrossed Second Substitute Senate Bill No. 5141))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 (section 2, chapter . . ., Laws of 2021 (Engrossed Second Substitute Senate Bill No. 5141)).</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 (section 16, chapter . . ., Laws of 2021 (Engrossed Second Substitute Senate Bill No. 5141)):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section 27 of this act, the climate investment account created in section 28 of this act, or the air quality and health disparities improvement account created in section 31 of this act, must:</w:t>
      </w:r>
    </w:p>
    <w:p>
      <w:pPr>
        <w:spacing w:before="0" w:after="0" w:line="408" w:lineRule="exact"/>
        <w:ind w:left="0" w:right="0" w:firstLine="576"/>
        <w:jc w:val="left"/>
      </w:pPr>
      <w:r>
        <w:rPr/>
        <w:t xml:space="preserve">(a) Report annually to the environmental justice council created in RCW 70A.---.--- (section 20, chapter . . ., Laws of 2021 (Engrossed Second Substitute Senate Bill No. 5141))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 . ., Laws of 2021 (Engrossed Second Substitute Senate Bill No. 5141),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created in RCW 70A.---.--- (section 20, chapter . . ., Laws of 2021 (Engrossed Second Substitute Senate Bill No. 5141)) must provide recommendations to the legislature, agencies, and the governor in the development and implementation of the program established in sections 8 through 24 of this act, and the programs funded from the carbon emissions reduction account created in section 27 of this act and from the climate investment account created in section 28 of this act.</w:t>
      </w:r>
    </w:p>
    <w:p>
      <w:pPr>
        <w:spacing w:before="0" w:after="0" w:line="408" w:lineRule="exact"/>
        <w:ind w:left="0" w:right="0" w:firstLine="576"/>
        <w:jc w:val="left"/>
      </w:pPr>
      <w:r>
        <w:rPr/>
        <w:t xml:space="preserve">(2) In addition to the duties and authorities granted in chapter 70A.--- RCW (the new chapter created in section 22, chapter . . ., Laws of 2021 (Engrossed Second Substitute Senate Bill No. 5141))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8 through 24 of this act including, but not limited to, linkage with other jurisdictions, protocols for establishing offset projects and securing offset credits, designation of emissions-intensive and trade-exposed industries under section 13 of this act,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section 28 of this act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Agencies that allocate funding or administer grant programs appropriated from the climate investment account created in section 28 of this act must develop a consultation framework in coordination with tribal governments that includes best practices, protocols for communication, and collaboration with federally recognized tribes. Under this consultation framework, before allocating funding or administering grant programs appropriated from the climate investment account, agencies must offer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is independent of any public participation process required by state law, or by a state agency, and regardless of whether the agency receives a request for consultation from a federally recognized tribe.</w:t>
      </w:r>
    </w:p>
    <w:p>
      <w:pPr>
        <w:spacing w:before="0" w:after="0" w:line="408" w:lineRule="exact"/>
        <w:ind w:left="0" w:right="0" w:firstLine="576"/>
        <w:jc w:val="left"/>
      </w:pPr>
      <w:r>
        <w:rPr/>
        <w:t xml:space="preserve">(2)(a) If any funding decision, program, project, or activity that impacts lands within which a tribe or tribes possess rights reserved by federal treaty, statute, or executive order is undertaken or funded under this chapter without such consultation with a federally recognized tribe, an affected tribe may request that all further action on the decision, program, project, or activity cease until meaningful consultation with any directly impacted federally recognized tribe is completed.</w:t>
      </w:r>
    </w:p>
    <w:p>
      <w:pPr>
        <w:spacing w:before="0" w:after="0" w:line="408" w:lineRule="exact"/>
        <w:ind w:left="0" w:right="0" w:firstLine="576"/>
        <w:jc w:val="left"/>
      </w:pPr>
      <w:r>
        <w:rPr/>
        <w:t xml:space="preserve">(b) A project or activity funded in whole or in part from the account created in section 28 of this act must be paused or ceased in the event that an affected federally recognized Indian tribe or the department of archaeology and historic preservation provides timely notice of a determination to the department and any other agency responsible for the project or activity that the project will adversely impact cultural resources, archaeological sites, or sacred sites. A project or activity paused at the direction of the department under this subsection may not be resumed or completed unless the potentially impacted tribe provides consent to the department and the proponent of the project or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GOVERNANCE STRUCTURE.</w:t>
      </w:r>
      <w:r>
        <w:t xml:space="preserve">  </w:t>
      </w:r>
      <w:r>
        <w:rPr/>
        <w:t xml:space="preserve">(1) The governor shall establish a governance structure to implement the state's climate commitment under the authority provided under this chapter and other statutory authority to provide accountability for achieving the state's greenhouse gas limits in RCW 70A.45.020, to establish a coordinated and strategic statewide approach to climate resilience, to build an equitable and inclusive clean energy economy, and to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(2) The governance structure for implementing the state's climate commitment must:</w:t>
      </w:r>
    </w:p>
    <w:p>
      <w:pPr>
        <w:spacing w:before="0" w:after="0" w:line="408" w:lineRule="exact"/>
        <w:ind w:left="0" w:right="0" w:firstLine="576"/>
        <w:jc w:val="left"/>
      </w:pPr>
      <w:r>
        <w:rPr/>
        <w:t xml:space="preserve">(a) Be holistic and address the needs, challenges, and opportunities to meet the climate commitment;</w:t>
      </w:r>
    </w:p>
    <w:p>
      <w:pPr>
        <w:spacing w:before="0" w:after="0" w:line="408" w:lineRule="exact"/>
        <w:ind w:left="0" w:right="0" w:firstLine="576"/>
        <w:jc w:val="left"/>
      </w:pPr>
      <w:r>
        <w:rPr/>
        <w:t xml:space="preserve">(b)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Support an equitable transition for vulnerable populations and overburdened communities, including through early and meaningful engagement of overburdened communities and workers to ensure the program achieves equitable and just outcomes;</w:t>
      </w:r>
    </w:p>
    <w:p>
      <w:pPr>
        <w:spacing w:before="0" w:after="0" w:line="408" w:lineRule="exact"/>
        <w:ind w:left="0" w:right="0" w:firstLine="576"/>
        <w:jc w:val="left"/>
      </w:pPr>
      <w:r>
        <w:rPr/>
        <w:t xml:space="preserve">(d) Build increasing climate resilience for at-risk communities and ecosystems through cross-sectoral coordination, strategic planning, and cohesive policies; and</w:t>
      </w:r>
    </w:p>
    <w:p>
      <w:pPr>
        <w:spacing w:before="0" w:after="0" w:line="408" w:lineRule="exact"/>
        <w:ind w:left="0" w:right="0" w:firstLine="576"/>
        <w:jc w:val="left"/>
      </w:pPr>
      <w:r>
        <w:rPr/>
        <w:t xml:space="preserve">(e)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(3) The governance structure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 and</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The governor's office shall develop policy and budget recommendations to the legislature necessary to implement the state's climate commitment by December 31, 2021, in accordance with the purpose, principles, and elements in subsections (1) through (3) of this section.</w:t>
      </w:r>
    </w:p>
    <w:p>
      <w:pPr>
        <w:spacing w:before="0" w:after="0" w:line="408" w:lineRule="exact"/>
        <w:ind w:left="0" w:right="0" w:firstLine="576"/>
        <w:jc w:val="left"/>
      </w:pPr>
      <w:r>
        <w:rPr/>
        <w:t xml:space="preserve">(5) Nothing in this section establishes or creates legal authority for the department or any other state agency to enact, adopt, issue an order, or in any way implement additional regulatory programs beyond what is provided for under this chapter and other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9 and 10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9 and 10 of this act;</w:t>
      </w:r>
    </w:p>
    <w:p>
      <w:pPr>
        <w:spacing w:before="0" w:after="0" w:line="408" w:lineRule="exact"/>
        <w:ind w:left="0" w:right="0" w:firstLine="576"/>
        <w:jc w:val="left"/>
      </w:pPr>
      <w:r>
        <w:rPr/>
        <w:t xml:space="preserve">(c) Distribution of emission allowances, as provided in section 12 of this act, and through the allowance price containment provisions under sections 16 and 17 of this act;</w:t>
      </w:r>
    </w:p>
    <w:p>
      <w:pPr>
        <w:spacing w:before="0" w:after="0" w:line="408" w:lineRule="exact"/>
        <w:ind w:left="0" w:right="0" w:firstLine="576"/>
        <w:jc w:val="left"/>
      </w:pPr>
      <w:r>
        <w:rPr/>
        <w:t xml:space="preserve">(d) Providing for offset credits as a method for meeting a compliance obligation, pursuant to section 19 of this act;</w:t>
      </w:r>
    </w:p>
    <w:p>
      <w:pPr>
        <w:spacing w:before="0" w:after="0" w:line="408" w:lineRule="exact"/>
        <w:ind w:left="0" w:right="0" w:firstLine="576"/>
        <w:jc w:val="left"/>
      </w:pPr>
      <w:r>
        <w:rPr/>
        <w:t xml:space="preserve">(e) Defining the compliance obligations of covered entities, as provided in section 22 of this act;</w:t>
      </w:r>
    </w:p>
    <w:p>
      <w:pPr>
        <w:spacing w:before="0" w:after="0" w:line="408" w:lineRule="exact"/>
        <w:ind w:left="0" w:right="0" w:firstLine="576"/>
        <w:jc w:val="left"/>
      </w:pPr>
      <w:r>
        <w:rPr/>
        <w:t xml:space="preserve">(f) Establishing the authority of the department to enforce the program requirements, as provided in section 23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28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section 18 of this act; and</w:t>
      </w:r>
    </w:p>
    <w:p>
      <w:pPr>
        <w:spacing w:before="0" w:after="0" w:line="408" w:lineRule="exact"/>
        <w:ind w:left="0" w:right="0" w:firstLine="576"/>
        <w:jc w:val="left"/>
      </w:pPr>
      <w:r>
        <w:rPr/>
        <w:t xml:space="preserve">(k) Providing for the allocation of allowances to emissions-intensive, trade-exposed industries pursuant to section 13 of this act.</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section 24 of this act.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at least every four years thereafter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ALLOWANCE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 If the first compliance period is delayed pursuant to section 22(7) of this act, the department shall adjust the annual allowance budgets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section 19 of this act,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sections 13 through 15 of this act or though auctions under section 12 of this act, does not expire and may be held or banked consistent with sections 12(6) and 17(1) of this act.</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(3)(a)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p>
    <w:p>
      <w:pPr>
        <w:spacing w:before="0" w:after="0" w:line="408" w:lineRule="exact"/>
        <w:ind w:left="0" w:right="0" w:firstLine="576"/>
        <w:jc w:val="left"/>
      </w:pPr>
      <w:r>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t xml:space="preserve">(ii)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(b) Subsection (a) of this subsection does not apply to owners or operators of landfills that:</w:t>
      </w:r>
    </w:p>
    <w:p>
      <w:pPr>
        <w:spacing w:before="0" w:after="0" w:line="408" w:lineRule="exact"/>
        <w:ind w:left="0" w:right="0" w:firstLine="576"/>
        <w:jc w:val="left"/>
      </w:pPr>
      <w:r>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t xml:space="preserve">(c) It is the intent of the legislature to adopt a greenhouse gas reduction policy specific to landfills. If such a policy is not enacted by January 1, 2030, the requirements of this subsection (3) take full effect.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(f)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this act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13, 14, or 15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 and from the voluntary renewable reserve account.</w:t>
      </w:r>
    </w:p>
    <w:p>
      <w:pPr>
        <w:spacing w:before="0" w:after="0" w:line="408" w:lineRule="exact"/>
        <w:ind w:left="0" w:right="0" w:firstLine="576"/>
        <w:jc w:val="left"/>
      </w:pPr>
      <w:r>
        <w:rPr/>
        <w:t xml:space="preserve">(10) The department shall maintain a public roster of all covered entities, opt-in entities, and general market participants on the department's public website.</w:t>
      </w:r>
    </w:p>
    <w:p>
      <w:pPr>
        <w:spacing w:before="0" w:after="0" w:line="408" w:lineRule="exact"/>
        <w:ind w:left="0" w:right="0" w:firstLine="576"/>
        <w:jc w:val="left"/>
      </w:pPr>
      <w:r>
        <w:rPr/>
        <w:t xml:space="preserve">(11) The department shall include a voluntary renewable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13, 14, and 15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sections 13, 14, and 15 of this act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sections 14 and 15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 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section 22 of this act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the effective date of this section.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section 13 of this act, unless allowances have been otherwise allocated for electricity-related emissions to the entity under section 13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Nothing in this section affects the requirements of chapter 19.405 RCW.</w:t>
      </w:r>
    </w:p>
    <w:p>
      <w:pPr>
        <w:spacing w:before="0" w:after="0" w:line="408" w:lineRule="exact"/>
        <w:ind w:left="0" w:right="0" w:firstLine="576"/>
        <w:jc w:val="left"/>
      </w:pPr>
      <w:r>
        <w:rPr/>
        <w:t xml:space="preserve">(9) A consumer-owned utility that is party to a contract that meets the following conditions must be issued allowances under this section for emissions associated with imported electricity, in order to prevent impairment of the value of the contract to either party:</w:t>
      </w:r>
    </w:p>
    <w:p>
      <w:pPr>
        <w:spacing w:before="0" w:after="0" w:line="408" w:lineRule="exact"/>
        <w:ind w:left="0" w:right="0" w:firstLine="576"/>
        <w:jc w:val="left"/>
      </w:pPr>
      <w:r>
        <w:rPr/>
        <w:t xml:space="preserve">(a) The contract does not address compliance costs imposed upon the consumer-owned utility by the program created in this chapter; and</w:t>
      </w:r>
    </w:p>
    <w:p>
      <w:pPr>
        <w:spacing w:before="0" w:after="0" w:line="408" w:lineRule="exact"/>
        <w:ind w:left="0" w:right="0" w:firstLine="576"/>
        <w:jc w:val="left"/>
      </w:pPr>
      <w:r>
        <w:rPr/>
        <w:t xml:space="preserve">(b) The contract was in effect as of the effective date of this section and expires no later than the end of the first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UTILITIES.</w:t>
      </w:r>
      <w:r>
        <w:t xml:space="preserve">  </w:t>
      </w:r>
      <w:r>
        <w:rPr/>
        <w:t xml:space="preserve">(1) For the benefit of ratepayers, allowances must be allocated at no cost to covered entities that are natural gas utilities.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9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customer bill credits under this subsection are reserved exclusively for customers at locations connected to a natural gas utility's system on the effective date of this section. Bill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a natural gas utility must provide to the department the United States environmental protection agency subpart NN greenhouse gas emissions report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12 of this act;</w:t>
      </w:r>
    </w:p>
    <w:p>
      <w:pPr>
        <w:spacing w:before="0" w:after="0" w:line="408" w:lineRule="exact"/>
        <w:ind w:left="0" w:right="0" w:firstLine="576"/>
        <w:jc w:val="left"/>
      </w:pPr>
      <w:r>
        <w:rPr/>
        <w:t xml:space="preserve">(c) When facilities curtail or close consistent with section 13(6)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16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12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CEILING.</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22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23 of this act;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may not be in addition to or allow for an increase in the emissions limits established under RCW 70A.45.020, as reflected in the annual allowance budgets developed under section 9 of this act.</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19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The department may provide funding or assistance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FORESTLAND OWNER WORK GROUP.</w:t>
      </w:r>
      <w:r>
        <w:t xml:space="preserve">  </w:t>
      </w:r>
      <w:r>
        <w:rPr/>
        <w:t xml:space="preserve">(1) The department of natural resources must contract with an eligible entity capable of providing public value to the state through the establishment and implementation of a small forestland owner work group. The purpose of the work group is to forward the goals and implementation of this chapter by identifying possible carbon market opportunities including, but not limited to, the provision of offset credits that qualify under section 19 of this act, and other incentive-based greenhouse gas reduction programs that Washington landowners may be able to access, including compliance markets operated by other jurisdictions, voluntary markets, and federal, state, and private programs for forestlands that can be leveraged to achieve carbon reductions.</w:t>
      </w:r>
    </w:p>
    <w:p>
      <w:pPr>
        <w:spacing w:before="0" w:after="0" w:line="408" w:lineRule="exact"/>
        <w:ind w:left="0" w:right="0" w:firstLine="576"/>
        <w:jc w:val="left"/>
      </w:pPr>
      <w:r>
        <w:rPr/>
        <w:t xml:space="preserve">(2) The work group established by the eligible entity under this section must:</w:t>
      </w:r>
    </w:p>
    <w:p>
      <w:pPr>
        <w:spacing w:before="0" w:after="0" w:line="408" w:lineRule="exact"/>
        <w:ind w:left="0" w:right="0" w:firstLine="576"/>
        <w:jc w:val="left"/>
      </w:pPr>
      <w:r>
        <w:rPr/>
        <w:t xml:space="preserve">(a) Provide recommendations for the implementation and funding of a pilot program to develop an aggregator account that will pursue carbon offset projects for small forestland owners in Washington state, including recommendations based on programs established in other jurisdictions;</w:t>
      </w:r>
    </w:p>
    <w:p>
      <w:pPr>
        <w:spacing w:before="0" w:after="0" w:line="408" w:lineRule="exact"/>
        <w:ind w:left="0" w:right="0" w:firstLine="576"/>
        <w:jc w:val="left"/>
      </w:pPr>
      <w:r>
        <w:rPr/>
        <w:t xml:space="preserve">(b) Coordinate with the department on the development of offset protocols related to landowners under section 19(4)(d) of this act;</w:t>
      </w:r>
    </w:p>
    <w:p>
      <w:pPr>
        <w:spacing w:before="0" w:after="0" w:line="408" w:lineRule="exact"/>
        <w:ind w:left="0" w:right="0" w:firstLine="576"/>
        <w:jc w:val="left"/>
      </w:pPr>
      <w:r>
        <w:rPr/>
        <w:t xml:space="preserve">(c) Develop a framework and funding proposals for establishing a program to link interested small forestland owners with incentive-based carbon reducing programs that facilitate adoption of forest practices that increase carbon storage and sequestration in forests and wood products. The framework may include:</w:t>
      </w:r>
    </w:p>
    <w:p>
      <w:pPr>
        <w:spacing w:before="0" w:after="0" w:line="408" w:lineRule="exact"/>
        <w:ind w:left="0" w:right="0" w:firstLine="576"/>
        <w:jc w:val="left"/>
      </w:pPr>
      <w:r>
        <w:rPr/>
        <w:t xml:space="preserve">(i) Identifying areas of coordination and layering among state, federal, and private landowner incentive programs and identifying roadblocks to better scalability;</w:t>
      </w:r>
    </w:p>
    <w:p>
      <w:pPr>
        <w:spacing w:before="0" w:after="0" w:line="408" w:lineRule="exact"/>
        <w:ind w:left="0" w:right="0" w:firstLine="576"/>
        <w:jc w:val="left"/>
      </w:pPr>
      <w:r>
        <w:rPr/>
        <w:t xml:space="preserve">(ii) Assisting landowners with access to feasibility analyses, market applications, stand inventories, pilot project support, and other services to reduce the transaction costs and barriers to entry to carbon markets or carbon incentive programs; and</w:t>
      </w:r>
    </w:p>
    <w:p>
      <w:pPr>
        <w:spacing w:before="0" w:after="0" w:line="408" w:lineRule="exact"/>
        <w:ind w:left="0" w:right="0" w:firstLine="576"/>
        <w:jc w:val="left"/>
      </w:pPr>
      <w:r>
        <w:rPr/>
        <w:t xml:space="preserve">(iii) Sharing information with private and other landowners about best practices employed to increase carbon storage and access to incentive programs; and</w:t>
      </w:r>
    </w:p>
    <w:p>
      <w:pPr>
        <w:spacing w:before="0" w:after="0" w:line="408" w:lineRule="exact"/>
        <w:ind w:left="0" w:right="0" w:firstLine="576"/>
        <w:jc w:val="left"/>
      </w:pPr>
      <w:r>
        <w:rPr/>
        <w:t xml:space="preserve">(d) Recommend policies to support the implementation of incentives for participation in carbon markets.</w:t>
      </w:r>
    </w:p>
    <w:p>
      <w:pPr>
        <w:spacing w:before="0" w:after="0" w:line="408" w:lineRule="exact"/>
        <w:ind w:left="0" w:right="0" w:firstLine="576"/>
        <w:jc w:val="left"/>
      </w:pPr>
      <w:r>
        <w:rPr/>
        <w:t xml:space="preserve">(3) The work group must transmit a final report to the department by December 1, 2022, that provides recommendations for incentives, the implementation of incentives, and payment structures necessary to support small forest landowners and any recommendations around extending the work group or making the work group permanent. The department must submit the final report to the legislature, in compliance with RCW 43.01.036, by December 31, 2022.</w:t>
      </w:r>
    </w:p>
    <w:p>
      <w:pPr>
        <w:spacing w:before="0" w:after="0" w:line="408" w:lineRule="exact"/>
        <w:ind w:left="0" w:right="0" w:firstLine="576"/>
        <w:jc w:val="left"/>
      </w:pPr>
      <w:r>
        <w:rPr/>
        <w:t xml:space="preserve">(4) For the purposes of this section, "eligible entity" means a nonprofit entity solely based in Washington that can demonstrate a membership of at least 1000 small forestland owners and that has, as part of its mission, the promotion of the sustainable stewardship of family forestlands.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 entity's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 In meeting a given compliance obligation, a covered or opt-in entity may use allowances issued in that compliance year, or allowances issued in any of the seven years immediately preceding that compliance year.</w:t>
      </w:r>
    </w:p>
    <w:p>
      <w:pPr>
        <w:spacing w:before="0" w:after="0" w:line="408" w:lineRule="exact"/>
        <w:ind w:left="0" w:right="0" w:firstLine="576"/>
        <w:jc w:val="left"/>
      </w:pPr>
      <w:r>
        <w:rPr/>
        <w:t xml:space="preserve">(2) Compliance occurs through the transfer of compliance instruments or price ceiling units, on or before the transfer date, from the holding account to the compliance account of the covered or opt-in entity as described in section 10 of this act.</w:t>
      </w:r>
    </w:p>
    <w:p>
      <w:pPr>
        <w:spacing w:before="0" w:after="0" w:line="408" w:lineRule="exact"/>
        <w:ind w:left="0" w:right="0" w:firstLine="576"/>
        <w:jc w:val="left"/>
      </w:pPr>
      <w:r>
        <w:rPr/>
        <w:t xml:space="preserve">(3)(a) A covered entity with a facility eligible for use of price ceiling units under section 18 of this act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section 23 of this act.</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In order to coordinate and synchronize the cap and invest program established under this chapter with other transportation-related investments, this section does not take effect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five cents per gallon of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section 12(8)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section 28 of this act.</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retains all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8 through 24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TARGETS.</w:t>
      </w:r>
      <w:r>
        <w:t xml:space="preserve">  </w:t>
      </w:r>
      <w:r>
        <w:rPr/>
        <w:t xml:space="preserve">(1) It is the intent of the legislature that each year the total investments made through the carbon emissions reduction account created in section 27 of this act, the climate commitment account created in section 29 of this act, the natural climate solutions account created in section 30 of this act, and the air quality and health disparities improvement account created in section 31 of this act,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section 5 of this act.</w:t>
      </w:r>
    </w:p>
    <w:p>
      <w:pPr>
        <w:spacing w:before="0" w:after="0" w:line="408" w:lineRule="exact"/>
        <w:ind w:left="0" w:right="0" w:firstLine="576"/>
        <w:jc w:val="left"/>
      </w:pPr>
      <w:r>
        <w:rPr/>
        <w:t xml:space="preserve">(5) No expenditures may be made from the carbon emissions reduction account created in section 27 of this act, the climate investment account created in section 28 of this act, or the air quality and health disparities improvement account created in section 31 of this act if, by April 1, 2023, the legislature has not considered and enacted request legislation brought forth by the department under section 8 of this act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EMISSIONS REDUCTION ACCOUNT.</w:t>
      </w:r>
      <w:r>
        <w:t xml:space="preserve">  </w:t>
      </w:r>
      <w:r>
        <w:rPr/>
        <w:t xml:space="preserve">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(1)(a) The climate investment account is created in the state treasury. Except as otherwise provided in this act,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as follows:</w:t>
      </w:r>
    </w:p>
    <w:p>
      <w:pPr>
        <w:spacing w:before="0" w:after="0" w:line="408" w:lineRule="exact"/>
        <w:ind w:left="0" w:right="0" w:firstLine="576"/>
        <w:jc w:val="left"/>
      </w:pPr>
      <w:r>
        <w:rPr/>
        <w:t xml:space="preserve">(a) Seventy-five percent of the moneys to the climate commitment account created in section 29 of this act; and</w:t>
      </w:r>
    </w:p>
    <w:p>
      <w:pPr>
        <w:spacing w:before="0" w:after="0" w:line="408" w:lineRule="exact"/>
        <w:ind w:left="0" w:right="0" w:firstLine="576"/>
        <w:jc w:val="left"/>
      </w:pPr>
      <w:r>
        <w:rPr/>
        <w:t xml:space="preserve">(b) Twenty-five percent of the moneys to the natural climate solutions account created in section 30 of this act.</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ACCOUNT.</w:t>
      </w:r>
      <w:r>
        <w:t xml:space="preserve">  </w:t>
      </w:r>
      <w:r>
        <w:rPr/>
        <w:t xml:space="preserve">(1) The climate commitment account is created in the state treasury. The account must receive moneys distributed to the account from the climate investment account created in section 28 of this act.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 (section 5, chapter . . ., Laws of 2021 (Second Substitute House Bill No. 1168));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CLIMATE SOLUTIONS ACCOUNT.</w:t>
      </w:r>
      <w:r>
        <w:t xml:space="preserve">  </w:t>
      </w:r>
      <w:r>
        <w:rPr/>
        <w:t xml:space="preserve">(1) The natural climate solutions account is created in the state treasury. All moneys directed to the account from the climate investment account created in section 28 of this act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 QUALITY AND HEALTH DISPARITIES IMPROVEMENT ACCOUNT.</w:t>
      </w:r>
      <w:r>
        <w:t xml:space="preserve">  </w:t>
      </w:r>
      <w:r>
        <w:rPr/>
        <w:t xml:space="preserve">(1) The air quality and health disparities improvement account is created in the state treasury. Moneys in the account may be spent only after appropriation. Expenditures from the account are intended to:</w:t>
      </w:r>
    </w:p>
    <w:p>
      <w:pPr>
        <w:spacing w:before="0" w:after="0" w:line="408" w:lineRule="exact"/>
        <w:ind w:left="0" w:right="0" w:firstLine="576"/>
        <w:jc w:val="left"/>
      </w:pPr>
      <w:r>
        <w:rPr/>
        <w:t xml:space="preserve">(a) Improve air quality through the reduction of criteria pollutants, including through effective air quality monitoring and the establishment of adequate baseline emissions data; and</w:t>
      </w:r>
    </w:p>
    <w:p>
      <w:pPr>
        <w:spacing w:before="0" w:after="0" w:line="408" w:lineRule="exact"/>
        <w:ind w:left="0" w:right="0" w:firstLine="576"/>
        <w:jc w:val="left"/>
      </w:pPr>
      <w:r>
        <w:rPr/>
        <w:t xml:space="preserve">(b) Reduce health disparities in overburdened communities by improving health outcomes through the reduction or elimination of environmental harms and the promotion of environmental benefits.</w:t>
      </w:r>
    </w:p>
    <w:p>
      <w:pPr>
        <w:spacing w:before="0" w:after="0" w:line="408" w:lineRule="exact"/>
        <w:ind w:left="0" w:right="0" w:firstLine="576"/>
        <w:jc w:val="left"/>
      </w:pPr>
      <w:r>
        <w:rPr/>
        <w:t xml:space="preserve">(2) Moneys in the account may be used for either capital budget or transportation budget purposes, or both. Moneys in the account may not be used for projects that would violate tribal treaty rights or result in significant long-term damage to critical habitat or ecological functions. Investments from the account must result in long-term environmental benefits and increased resilience to the impacts of climate change.</w:t>
      </w:r>
    </w:p>
    <w:p>
      <w:pPr>
        <w:spacing w:before="0" w:after="0" w:line="408" w:lineRule="exact"/>
        <w:ind w:left="0" w:right="0" w:firstLine="576"/>
        <w:jc w:val="left"/>
      </w:pPr>
      <w:r>
        <w:rPr/>
        <w:t xml:space="preserve">(3) It is the intent of the legislature that not less than $20,000,000 per biennium be dedicated to the account for the purposes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program or that are most impacted by air pollution, as defined in consultation with the departments of ecology and health and as measured on a census tract scale.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that are covered entities. The categories of industries assessed must include, but are not limited to, electric utilities, natural gas utilities, oil refineries, and other industries classified as emissions-intensive and trade-exposed;</w:t>
      </w:r>
    </w:p>
    <w:p>
      <w:pPr>
        <w:spacing w:before="0" w:after="0" w:line="408" w:lineRule="exact"/>
        <w:ind w:left="0" w:right="0" w:firstLine="576"/>
        <w:jc w:val="left"/>
      </w:pPr>
      <w:r>
        <w:rPr/>
        <w:t xml:space="preserve">(b) An evaluation of the information provided by the department in its 2027 program evaluation under section 9(3) of this act;</w:t>
      </w:r>
    </w:p>
    <w:p>
      <w:pPr>
        <w:spacing w:before="0" w:after="0" w:line="408" w:lineRule="exact"/>
        <w:ind w:left="0" w:right="0" w:firstLine="576"/>
        <w:jc w:val="left"/>
      </w:pPr>
      <w:r>
        <w:rPr/>
        <w:t xml:space="preserve">(c) A summary of the estimated total statewide costs and benefits attributable to the program, including state agency administrative costs and covered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program; and</w:t>
      </w:r>
    </w:p>
    <w:p>
      <w:pPr>
        <w:spacing w:before="0" w:after="0" w:line="408" w:lineRule="exact"/>
        <w:ind w:left="0" w:right="0" w:firstLine="576"/>
        <w:jc w:val="left"/>
      </w:pPr>
      <w:r>
        <w:rPr/>
        <w:t xml:space="preserve">(d) An evaluation of the impacts of the program on low-income households.</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8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with which Washington has pursuant to section 24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which Washington has entered a linkage agreement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10 of this act in any year of the current compliance period. The department may adopt rules to accept verification reports from another jurisdiction with a linkage agreement pursuant to section 20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greenhouse gas emissions from a new or expanded facility subject to the greenhouse gas emission reduction requirements of chapter 70A.--- RCW (the new chapter created in section 38 of this act) must occur consistent with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or a local air authority must issue an enforceable order under this chapter, consistent with section 3(2) (b) and (c) of this act, to all permitted or registered sources operating in overburdened communities when, consistent with section 3(2)(a) of this act, the department determines that criteria pollutants are not being reduced in an overburdened community and the department or local air authority adopts stricter air quality standards, emissions standards, or emissions limitations on criteria pollutants.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state, state agencies, and political subdivisions of the state, in implementing their duties and authorities established under other laws, may only consider the greenhouse gas limits established in RCW 70A.45.020 in a manner that recognizes, where applicable, that the siting and placement of new or expanded best-in-class facilities with lower carbon emitting processes is in the economic and environmental interests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32 and 37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8 through 24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8 through 24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State agencies described in section 6 of this act must offer consultation with Indian tribes on the actions specified in section 6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 23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23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 23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w:t>
      </w:r>
      <w:r>
        <w:rPr>
          <w:u w:val="single"/>
        </w:rPr>
        <w:t xml:space="preserve">section 23 of this act, which shall be credited to the climate investment account created in section 28 of this act,</w:t>
      </w:r>
      <w:r>
        <w:rPr/>
        <w:t xml:space="preserve">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040</w:t>
      </w:r>
      <w:r>
        <w:rPr/>
        <w:t xml:space="preserve"> and 1984 c 223 s 1 are each amended to read as follows:</w:t>
      </w:r>
    </w:p>
    <w:p>
      <w:pPr>
        <w:spacing w:before="0" w:after="0" w:line="408" w:lineRule="exact"/>
        <w:ind w:left="0" w:right="0" w:firstLine="576"/>
        <w:jc w:val="left"/>
      </w:pPr>
      <w:r>
        <w:rPr/>
        <w:t xml:space="preserve">(1) Unless removed at the governor's pleasure, councilmembers shall serve a term ending January 15 of the third year following appointment except that, with respect to members initially appointed, the governor shall designate one member to serve a term ending January 15 of the second year following appointment. Initial appointments to the council shall be made within thirty days of March 9, 1981.</w:t>
      </w:r>
    </w:p>
    <w:p>
      <w:pPr>
        <w:spacing w:before="0" w:after="0" w:line="408" w:lineRule="exact"/>
        <w:ind w:left="0" w:right="0" w:firstLine="576"/>
        <w:jc w:val="left"/>
      </w:pPr>
      <w:r>
        <w:rPr/>
        <w:t xml:space="preserve">(2) Each member shall serve until a successor is appointed, but if a successor is not appointed within sixty days of the beginning of a new term, the member shall be considered reappointed, subject to the consent of the senate.</w:t>
      </w:r>
    </w:p>
    <w:p>
      <w:pPr>
        <w:spacing w:before="0" w:after="0" w:line="408" w:lineRule="exact"/>
        <w:ind w:left="0" w:right="0" w:firstLine="576"/>
        <w:jc w:val="left"/>
      </w:pPr>
      <w:r>
        <w:rPr/>
        <w:t xml:space="preserve">(3) A vacancy on the council shall be filled for the unexpired term by the governor, with the consent of the senate.</w:t>
      </w:r>
    </w:p>
    <w:p>
      <w:pPr>
        <w:spacing w:before="0" w:after="0" w:line="408" w:lineRule="exact"/>
        <w:ind w:left="0" w:right="0" w:firstLine="576"/>
        <w:jc w:val="left"/>
      </w:pPr>
      <w:r>
        <w:rPr/>
        <w:t xml:space="preserve">(4) For the first available appointment and at all times thereafter, one member of Washington's delegation to the council shall reside east of the crest of the Cascade Mountains and one member shall reside west of the crest of the Cascade Mountains</w:t>
      </w:r>
      <w:r>
        <w:rPr>
          <w:u w:val="single"/>
        </w:rPr>
        <w:t xml:space="preserve">, except as follows: Both members may reside on the same side of the Cascade Mountains as long as this deviation does not exceed 12 months in any 10-year period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005</w:t>
      </w:r>
      <w:r>
        <w:rPr/>
        <w:t xml:space="preserve"> and 2020 c 120 s 2 and 2020 c 20 s 1397 are each reenacted and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sustainable forestry and the production of forest products,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70A.45.020, participating in the design of a regional multisector market-based system to help achieve those emission reductions, assessing other market strategies to reduce emissions of greenhouse gases, maintaining and enhancing the state's ability to continue to sequester carbon through natural and working lands and forest products,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70A.45.020; (b) minimize the potential to export pollution, jobs, and economic opportunities; (c) support industry sectors that can act as sequesterers of carbon; and (d)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and sequestration portfolio, including the:</w:t>
      </w:r>
    </w:p>
    <w:p>
      <w:pPr>
        <w:spacing w:before="0" w:after="0" w:line="408" w:lineRule="exact"/>
        <w:ind w:left="0" w:right="0" w:firstLine="576"/>
        <w:jc w:val="left"/>
      </w:pPr>
      <w:r>
        <w:rPr/>
        <w:t xml:space="preserve">(a) State's hydroelectric system;</w:t>
      </w:r>
    </w:p>
    <w:p>
      <w:pPr>
        <w:spacing w:before="0" w:after="0" w:line="408" w:lineRule="exact"/>
        <w:ind w:left="0" w:right="0" w:firstLine="576"/>
        <w:jc w:val="left"/>
      </w:pPr>
      <w:r>
        <w:rPr/>
        <w:t xml:space="preserve">(b) Opportunities presented by Washington's abundant forest resources and the associated forest products industry, along with aquatic and agriculture land and the associated industries; and</w:t>
      </w:r>
    </w:p>
    <w:p>
      <w:pPr>
        <w:spacing w:before="0" w:after="0" w:line="408" w:lineRule="exact"/>
        <w:ind w:left="0" w:right="0" w:firstLine="576"/>
        <w:jc w:val="left"/>
      </w:pPr>
      <w:r>
        <w:rPr/>
        <w:t xml:space="preserve">(c)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excluding those from state trust lands, that accrue to the state are created by a market system, they must be used </w:t>
      </w:r>
      <w:r>
        <w:rPr>
          <w:u w:val="single"/>
        </w:rPr>
        <w:t xml:space="preserve">for the purposes established in chapter 70A.--- RCW (the new chapter created in section 38 of this act) and</w:t>
      </w:r>
      <w:r>
        <w:rPr/>
        <w:t xml:space="preserve"> to further the state's efforts to achieve the goals established in RCW 70A.45.020, address the impacts of global warming on affected habitats, species, and communities, promote and invest in industry sectors that act as sequesterers of carbon,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prepare, post on the department website, and submit to the appropriate committees of the legislature an annual report that identifies all distributions of moneys from the accounts created in sections 27 through 31 of this act.</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sections 27 through 31 of this act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HEATING ASSISTANCE PROGRAM.</w:t>
      </w:r>
      <w:r>
        <w:t xml:space="preserve">  </w:t>
      </w:r>
      <w:r>
        <w:rPr/>
        <w:t xml:space="preserve">(1) The legislature intends by this section to establish policies to mitigate the cost burden of the program established by this act on consumers who use home heating fuels that are not electricity or natural gas.</w:t>
      </w:r>
    </w:p>
    <w:p>
      <w:pPr>
        <w:spacing w:before="0" w:after="0" w:line="408" w:lineRule="exact"/>
        <w:ind w:left="0" w:right="0" w:firstLine="576"/>
        <w:jc w:val="left"/>
      </w:pPr>
      <w:r>
        <w:rPr/>
        <w:t xml:space="preserve">(2) The department, in collaboration with interested stakeholders, shall develop a proposal for assisting households that, for residential home heating, use fuels that are not electricity or natural gas. The proposal must give priority to assisting low-income households through weatherization, conservation and efficiency services, and bill assistance.</w:t>
      </w:r>
    </w:p>
    <w:p>
      <w:pPr>
        <w:spacing w:before="0" w:after="0" w:line="408" w:lineRule="exact"/>
        <w:ind w:left="0" w:right="0" w:firstLine="576"/>
        <w:jc w:val="left"/>
      </w:pPr>
      <w:r>
        <w:rPr/>
        <w:t xml:space="preserve">(3) In the event the department, in collaboration with interested stakeholders, determines that the proposal developed pursuant to subsection (2) of this section requires legislative action, the department shall submit its recommendations for proposed legislation to the appropriate committees of the legislature no later than September 15, 2022.</w:t>
      </w:r>
    </w:p>
    <w:p/>
    <w:p>
      <w:pPr>
        <w:jc w:val="center"/>
      </w:pPr>
      <w:r>
        <w:rPr>
          <w:b/>
        </w:rPr>
        <w:t>--- END ---</w:t>
      </w:r>
    </w:p>
    <w:sectPr>
      <w:pgNumType w:start="1"/>
      <w:footerReference xmlns:r="http://schemas.openxmlformats.org/officeDocument/2006/relationships" r:id="Rd41fcd2c7fe04d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4f697aafd4d44" /><Relationship Type="http://schemas.openxmlformats.org/officeDocument/2006/relationships/footer" Target="/word/footer1.xml" Id="Rd41fcd2c7fe04dfe" /></Relationships>
</file>